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lang w:val="en-US" w:eastAsia="zh-CN"/>
        </w:rPr>
      </w:pPr>
      <w:r>
        <w:rPr>
          <w:rFonts w:hint="eastAsia" w:ascii="宋体" w:hAnsi="宋体" w:eastAsia="宋体" w:cs="宋体"/>
          <w:b/>
          <w:i w:val="0"/>
          <w:caps w:val="0"/>
          <w:color w:val="333333"/>
          <w:spacing w:val="0"/>
          <w:sz w:val="44"/>
          <w:szCs w:val="44"/>
          <w:shd w:val="clear" w:fill="FFFFFF"/>
          <w:lang w:val="en-US" w:eastAsia="zh-CN"/>
        </w:rPr>
        <w:t>于都县林业局2020年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ascii="仿宋" w:hAnsi="仿宋" w:eastAsia="仿宋" w:cs="仿宋"/>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32"/>
          <w:szCs w:val="32"/>
          <w:lang w:val="en-US" w:eastAsia="zh-CN"/>
        </w:rPr>
        <w:t>林业局</w:t>
      </w:r>
      <w:r>
        <w:rPr>
          <w:rFonts w:hint="eastAsia" w:ascii="宋体" w:hAnsi="宋体" w:eastAsia="宋体" w:cs="宋体"/>
          <w:i w:val="0"/>
          <w:caps w:val="0"/>
          <w:color w:val="333333"/>
          <w:spacing w:val="0"/>
          <w:sz w:val="32"/>
          <w:szCs w:val="32"/>
        </w:rPr>
        <w:t>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lang w:val="en-US" w:eastAsia="zh-CN"/>
        </w:rPr>
        <w:t>于都县</w:t>
      </w:r>
      <w:r>
        <w:rPr>
          <w:rFonts w:hint="eastAsia" w:ascii="宋体" w:hAnsi="宋体" w:eastAsia="宋体" w:cs="宋体"/>
          <w:i w:val="0"/>
          <w:caps w:val="0"/>
          <w:color w:val="333333"/>
          <w:spacing w:val="0"/>
          <w:sz w:val="32"/>
          <w:szCs w:val="32"/>
        </w:rPr>
        <w:t>人民政府网站（</w:t>
      </w:r>
      <w:r>
        <w:rPr>
          <w:rFonts w:hint="eastAsia" w:ascii="宋体" w:hAnsi="宋体" w:eastAsia="宋体" w:cs="宋体"/>
          <w:i w:val="0"/>
          <w:caps w:val="0"/>
          <w:color w:val="333333"/>
          <w:spacing w:val="0"/>
          <w:sz w:val="32"/>
          <w:szCs w:val="32"/>
          <w:lang w:val="en-US" w:eastAsia="zh-CN"/>
        </w:rPr>
        <w:t>http://xxgk.yudu.gov.cn/zfwxxgkzn/2017-12/13/content_0c7bea78a7a44161adeb879040a5cc0b.shtml</w:t>
      </w:r>
      <w:r>
        <w:rPr>
          <w:rFonts w:hint="eastAsia" w:ascii="宋体" w:hAnsi="宋体" w:eastAsia="宋体" w:cs="宋体"/>
          <w:i w:val="0"/>
          <w:caps w:val="0"/>
          <w:color w:val="333333"/>
          <w:spacing w:val="0"/>
          <w:sz w:val="32"/>
          <w:szCs w:val="32"/>
        </w:rPr>
        <w:t>）下载。如对本报告有任何疑问，请与</w:t>
      </w:r>
      <w:r>
        <w:rPr>
          <w:rFonts w:hint="eastAsia" w:ascii="宋体" w:hAnsi="宋体" w:eastAsia="宋体" w:cs="宋体"/>
          <w:i w:val="0"/>
          <w:caps w:val="0"/>
          <w:color w:val="333333"/>
          <w:spacing w:val="0"/>
          <w:sz w:val="32"/>
          <w:szCs w:val="32"/>
          <w:lang w:eastAsia="zh-CN"/>
        </w:rPr>
        <w:t>林业局</w:t>
      </w:r>
      <w:r>
        <w:rPr>
          <w:rFonts w:hint="eastAsia" w:ascii="宋体" w:hAnsi="宋体" w:eastAsia="宋体" w:cs="宋体"/>
          <w:i w:val="0"/>
          <w:caps w:val="0"/>
          <w:color w:val="333333"/>
          <w:spacing w:val="0"/>
          <w:sz w:val="32"/>
          <w:szCs w:val="32"/>
        </w:rPr>
        <w:t>联系（地址：</w:t>
      </w:r>
      <w:r>
        <w:rPr>
          <w:rFonts w:hint="eastAsia" w:ascii="宋体" w:hAnsi="宋体" w:eastAsia="宋体" w:cs="宋体"/>
          <w:i w:val="0"/>
          <w:caps w:val="0"/>
          <w:color w:val="333333"/>
          <w:spacing w:val="0"/>
          <w:sz w:val="32"/>
          <w:szCs w:val="32"/>
          <w:lang w:eastAsia="zh-CN"/>
        </w:rPr>
        <w:t>于都县贡江镇红旗大道</w:t>
      </w:r>
      <w:r>
        <w:rPr>
          <w:rFonts w:hint="eastAsia" w:ascii="宋体" w:hAnsi="宋体" w:eastAsia="宋体" w:cs="宋体"/>
          <w:i w:val="0"/>
          <w:caps w:val="0"/>
          <w:color w:val="333333"/>
          <w:spacing w:val="0"/>
          <w:sz w:val="32"/>
          <w:szCs w:val="32"/>
          <w:lang w:val="en-US" w:eastAsia="zh-CN"/>
        </w:rPr>
        <w:t>124号</w:t>
      </w:r>
      <w:r>
        <w:rPr>
          <w:rFonts w:hint="eastAsia" w:ascii="宋体" w:hAnsi="宋体" w:eastAsia="宋体" w:cs="宋体"/>
          <w:i w:val="0"/>
          <w:caps w:val="0"/>
          <w:color w:val="333333"/>
          <w:spacing w:val="0"/>
          <w:sz w:val="32"/>
          <w:szCs w:val="32"/>
        </w:rPr>
        <w:t>，电话：</w:t>
      </w:r>
      <w:r>
        <w:rPr>
          <w:rFonts w:hint="eastAsia" w:ascii="宋体" w:hAnsi="宋体" w:eastAsia="宋体" w:cs="宋体"/>
          <w:i w:val="0"/>
          <w:caps w:val="0"/>
          <w:color w:val="333333"/>
          <w:spacing w:val="0"/>
          <w:sz w:val="32"/>
          <w:szCs w:val="32"/>
          <w:lang w:val="en-US" w:eastAsia="zh-CN"/>
        </w:rPr>
        <w:t>6233141</w:t>
      </w:r>
      <w:r>
        <w:rPr>
          <w:rFonts w:hint="eastAsia" w:ascii="宋体" w:hAnsi="宋体" w:eastAsia="宋体" w:cs="宋体"/>
          <w:i w:val="0"/>
          <w:caps w:val="0"/>
          <w:color w:val="333333"/>
          <w:spacing w:val="0"/>
          <w:sz w:val="32"/>
          <w:szCs w:val="32"/>
        </w:rPr>
        <w:t>，邮编：</w:t>
      </w:r>
      <w:r>
        <w:rPr>
          <w:rFonts w:hint="eastAsia" w:ascii="宋体" w:hAnsi="宋体" w:eastAsia="宋体" w:cs="宋体"/>
          <w:i w:val="0"/>
          <w:caps w:val="0"/>
          <w:color w:val="333333"/>
          <w:spacing w:val="0"/>
          <w:sz w:val="32"/>
          <w:szCs w:val="32"/>
          <w:lang w:val="en-US" w:eastAsia="zh-CN"/>
        </w:rPr>
        <w:t>342300</w:t>
      </w:r>
      <w:r>
        <w:rPr>
          <w:rFonts w:hint="eastAsia" w:ascii="宋体" w:hAnsi="宋体" w:eastAsia="宋体" w:cs="宋体"/>
          <w:i w:val="0"/>
          <w:caps w:val="0"/>
          <w:color w:val="333333"/>
          <w:spacing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ascii="黑体" w:hAnsi="宋体" w:eastAsia="黑体" w:cs="黑体"/>
          <w:i w:val="0"/>
          <w:caps w:val="0"/>
          <w:color w:val="333333"/>
          <w:spacing w:val="0"/>
          <w:kern w:val="0"/>
          <w:sz w:val="32"/>
          <w:szCs w:val="32"/>
          <w:shd w:val="clear" w:fill="FFFFFF"/>
          <w:lang w:val="en-US" w:eastAsia="zh-CN" w:bidi="ar"/>
        </w:rPr>
      </w:pPr>
      <w:r>
        <w:rPr>
          <w:rFonts w:ascii="黑体" w:hAnsi="宋体" w:eastAsia="黑体" w:cs="黑体"/>
          <w:i w:val="0"/>
          <w:caps w:val="0"/>
          <w:color w:val="333333"/>
          <w:spacing w:val="0"/>
          <w:kern w:val="0"/>
          <w:sz w:val="32"/>
          <w:szCs w:val="32"/>
          <w:shd w:val="clear" w:fill="FFFFFF"/>
          <w:lang w:val="en-US" w:eastAsia="zh-CN" w:bidi="ar"/>
        </w:rPr>
        <w:t>总体情况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i w:val="0"/>
          <w:caps w:val="0"/>
          <w:color w:val="333333"/>
          <w:spacing w:val="0"/>
          <w:kern w:val="0"/>
          <w:sz w:val="32"/>
          <w:szCs w:val="32"/>
          <w:lang w:val="en-US" w:eastAsia="zh-CN" w:bidi="ar"/>
        </w:rPr>
      </w:pPr>
      <w:r>
        <w:rPr>
          <w:rFonts w:hint="eastAsia" w:ascii="宋体" w:hAnsi="宋体" w:eastAsia="宋体" w:cs="宋体"/>
          <w:i w:val="0"/>
          <w:caps w:val="0"/>
          <w:color w:val="333333"/>
          <w:spacing w:val="0"/>
          <w:kern w:val="0"/>
          <w:sz w:val="32"/>
          <w:szCs w:val="32"/>
          <w:lang w:val="en-US" w:eastAsia="zh-CN" w:bidi="ar"/>
        </w:rPr>
        <w:t>本年度，于都县林业局按照县委、县政府和上级机关的部署要求，明确工作职责，落实工作责任，严格遵循信息公开保密工作制度，积极、有序、稳妥地推进了我局政府信息公开的各项工作。</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hAnsi="宋体" w:eastAsia="宋体" w:cs="宋体"/>
          <w:i w:val="0"/>
          <w:caps w:val="0"/>
          <w:color w:val="333333"/>
          <w:spacing w:val="0"/>
          <w:kern w:val="0"/>
          <w:sz w:val="32"/>
          <w:szCs w:val="32"/>
          <w:lang w:val="en-US" w:eastAsia="zh-CN" w:bidi="ar"/>
        </w:rPr>
      </w:pPr>
      <w:r>
        <w:rPr>
          <w:rFonts w:hint="eastAsia" w:ascii="宋体" w:hAnsi="宋体" w:eastAsia="宋体" w:cs="宋体"/>
          <w:b/>
          <w:bCs/>
          <w:i w:val="0"/>
          <w:caps w:val="0"/>
          <w:color w:val="333333"/>
          <w:spacing w:val="0"/>
          <w:kern w:val="0"/>
          <w:sz w:val="32"/>
          <w:szCs w:val="32"/>
          <w:lang w:val="en-US" w:eastAsia="zh-CN" w:bidi="ar"/>
        </w:rPr>
        <w:t>（一）公开主要内容</w:t>
      </w:r>
      <w:r>
        <w:rPr>
          <w:rFonts w:hint="eastAsia" w:ascii="宋体" w:hAnsi="宋体" w:eastAsia="宋体" w:cs="宋体"/>
          <w:i w:val="0"/>
          <w:caps w:val="0"/>
          <w:color w:val="333333"/>
          <w:spacing w:val="0"/>
          <w:kern w:val="0"/>
          <w:sz w:val="32"/>
          <w:szCs w:val="32"/>
          <w:lang w:val="en-US" w:eastAsia="zh-CN" w:bidi="ar"/>
        </w:rPr>
        <w:t xml:space="preserve"> 截至 2020 年底，我局累计主动公开政府信息835条，其中在政府网站上主动公开信息561条中，在关注森林网网站76条，省林业局网站主动公开20条， 在赣南林业网站主动公开 80条，在于都林业公众号63、江南都市报等35条。</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hAnsi="宋体" w:eastAsia="宋体" w:cs="宋体"/>
          <w:i w:val="0"/>
          <w:caps w:val="0"/>
          <w:color w:val="333333"/>
          <w:spacing w:val="0"/>
          <w:kern w:val="0"/>
          <w:sz w:val="32"/>
          <w:szCs w:val="32"/>
          <w:lang w:val="en-US" w:eastAsia="zh-CN" w:bidi="ar"/>
        </w:rPr>
      </w:pPr>
      <w:r>
        <w:rPr>
          <w:rFonts w:hint="eastAsia" w:ascii="宋体" w:hAnsi="宋体" w:eastAsia="宋体" w:cs="宋体"/>
          <w:b/>
          <w:bCs/>
          <w:i w:val="0"/>
          <w:caps w:val="0"/>
          <w:color w:val="333333"/>
          <w:spacing w:val="0"/>
          <w:kern w:val="0"/>
          <w:sz w:val="32"/>
          <w:szCs w:val="32"/>
          <w:lang w:val="en-US" w:eastAsia="zh-CN" w:bidi="ar"/>
        </w:rPr>
        <w:t>(二)公开形式</w:t>
      </w:r>
      <w:r>
        <w:rPr>
          <w:rFonts w:hint="eastAsia" w:ascii="宋体" w:hAnsi="宋体" w:eastAsia="宋体" w:cs="宋体"/>
          <w:i w:val="0"/>
          <w:caps w:val="0"/>
          <w:color w:val="333333"/>
          <w:spacing w:val="0"/>
          <w:kern w:val="0"/>
          <w:sz w:val="32"/>
          <w:szCs w:val="32"/>
          <w:lang w:val="en-US" w:eastAsia="zh-CN" w:bidi="ar"/>
        </w:rPr>
        <w:t xml:space="preserve"> 在主动公开信息工作中，为方便公众了解信息，我局主要通过三种形式发布政府信息：1.在于都县政府信息公开网、手机报。2.在江西省林业厅网站和赣南林业网站上进行公布。3.报纸、电视、广播、杂志等媒体及政务信息公开栏发布部分主动公开的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shd w:val="clear" w:fill="FFFFFF"/>
        </w:rPr>
        <w:t>二、主动公开政府信息情况</w:t>
      </w:r>
    </w:p>
    <w:tbl>
      <w:tblPr>
        <w:tblStyle w:val="4"/>
        <w:tblW w:w="0" w:type="auto"/>
        <w:jc w:val="center"/>
        <w:shd w:val="clear" w:color="auto" w:fill="auto"/>
        <w:tblLayout w:type="autofit"/>
        <w:tblCellMar>
          <w:top w:w="0" w:type="dxa"/>
          <w:left w:w="0" w:type="dxa"/>
          <w:bottom w:w="0" w:type="dxa"/>
          <w:right w:w="0" w:type="dxa"/>
        </w:tblCellMar>
      </w:tblPr>
      <w:tblGrid>
        <w:gridCol w:w="3255"/>
        <w:gridCol w:w="1965"/>
        <w:gridCol w:w="6"/>
        <w:gridCol w:w="1322"/>
        <w:gridCol w:w="1965"/>
      </w:tblGrid>
      <w:tr>
        <w:tblPrEx>
          <w:tblCellMar>
            <w:top w:w="0" w:type="dxa"/>
            <w:left w:w="0" w:type="dxa"/>
            <w:bottom w:w="0" w:type="dxa"/>
            <w:right w:w="0" w:type="dxa"/>
          </w:tblCellMar>
        </w:tblPrEx>
        <w:trPr>
          <w:trHeight w:val="495" w:hRule="atLeast"/>
          <w:jc w:val="center"/>
        </w:trPr>
        <w:tc>
          <w:tcPr>
            <w:tcW w:w="8503"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第二十条第（一）项</w:t>
            </w:r>
          </w:p>
        </w:tc>
      </w:tr>
      <w:tr>
        <w:tblPrEx>
          <w:tblCellMar>
            <w:top w:w="0" w:type="dxa"/>
            <w:left w:w="0" w:type="dxa"/>
            <w:bottom w:w="0" w:type="dxa"/>
            <w:right w:w="0" w:type="dxa"/>
          </w:tblCellMar>
        </w:tblPrEx>
        <w:trPr>
          <w:trHeight w:val="882"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信息内容</w:t>
            </w:r>
          </w:p>
        </w:tc>
        <w:tc>
          <w:tcPr>
            <w:tcW w:w="19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本年新</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制作数量</w:t>
            </w:r>
          </w:p>
        </w:tc>
        <w:tc>
          <w:tcPr>
            <w:tcW w:w="13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本年新</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公开数量</w:t>
            </w:r>
          </w:p>
        </w:tc>
        <w:tc>
          <w:tcPr>
            <w:tcW w:w="196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对外公开总数量</w:t>
            </w:r>
          </w:p>
        </w:tc>
      </w:tr>
      <w:tr>
        <w:tblPrEx>
          <w:tblCellMar>
            <w:top w:w="0" w:type="dxa"/>
            <w:left w:w="0" w:type="dxa"/>
            <w:bottom w:w="0" w:type="dxa"/>
            <w:right w:w="0" w:type="dxa"/>
          </w:tblCellMar>
        </w:tblPrEx>
        <w:trPr>
          <w:trHeight w:val="523"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规章</w:t>
            </w:r>
          </w:p>
        </w:tc>
        <w:tc>
          <w:tcPr>
            <w:tcW w:w="19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ascii="Calibri" w:hAnsi="Calibri" w:eastAsia="微软雅黑" w:cs="Calibri"/>
                <w:sz w:val="21"/>
                <w:szCs w:val="21"/>
              </w:rPr>
              <w:t>0</w:t>
            </w:r>
          </w:p>
        </w:tc>
        <w:tc>
          <w:tcPr>
            <w:tcW w:w="13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c>
          <w:tcPr>
            <w:tcW w:w="196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r>
      <w:tr>
        <w:tblPrEx>
          <w:tblCellMar>
            <w:top w:w="0" w:type="dxa"/>
            <w:left w:w="0" w:type="dxa"/>
            <w:bottom w:w="0" w:type="dxa"/>
            <w:right w:w="0" w:type="dxa"/>
          </w:tblCellMar>
        </w:tblPrEx>
        <w:trPr>
          <w:trHeight w:val="471"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规范性文件</w:t>
            </w:r>
          </w:p>
        </w:tc>
        <w:tc>
          <w:tcPr>
            <w:tcW w:w="19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c>
          <w:tcPr>
            <w:tcW w:w="13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c>
          <w:tcPr>
            <w:tcW w:w="196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r>
      <w:tr>
        <w:tblPrEx>
          <w:shd w:val="clear" w:color="auto" w:fill="auto"/>
          <w:tblCellMar>
            <w:top w:w="0" w:type="dxa"/>
            <w:left w:w="0" w:type="dxa"/>
            <w:bottom w:w="0" w:type="dxa"/>
            <w:right w:w="0" w:type="dxa"/>
          </w:tblCellMar>
        </w:tblPrEx>
        <w:trPr>
          <w:trHeight w:val="480" w:hRule="atLeast"/>
          <w:jc w:val="center"/>
        </w:trPr>
        <w:tc>
          <w:tcPr>
            <w:tcW w:w="8503"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第二十条第（五）项</w:t>
            </w:r>
          </w:p>
        </w:tc>
      </w:tr>
      <w:tr>
        <w:tblPrEx>
          <w:shd w:val="clear" w:color="auto" w:fill="auto"/>
          <w:tblCellMar>
            <w:top w:w="0" w:type="dxa"/>
            <w:left w:w="0" w:type="dxa"/>
            <w:bottom w:w="0" w:type="dxa"/>
            <w:right w:w="0" w:type="dxa"/>
          </w:tblCellMar>
        </w:tblPrEx>
        <w:trPr>
          <w:trHeight w:val="634"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信息内容</w:t>
            </w:r>
          </w:p>
        </w:tc>
        <w:tc>
          <w:tcPr>
            <w:tcW w:w="19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上一年项目数量</w:t>
            </w:r>
          </w:p>
        </w:tc>
        <w:tc>
          <w:tcPr>
            <w:tcW w:w="13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本年增</w:t>
            </w:r>
            <w:r>
              <w:rPr>
                <w:rFonts w:hint="eastAsia" w:ascii="微软雅黑" w:hAnsi="微软雅黑" w:eastAsia="微软雅黑" w:cs="微软雅黑"/>
                <w:sz w:val="24"/>
                <w:szCs w:val="24"/>
              </w:rPr>
              <w:t>/</w:t>
            </w:r>
            <w:r>
              <w:rPr>
                <w:rFonts w:hint="eastAsia" w:ascii="宋体" w:hAnsi="宋体" w:eastAsia="宋体" w:cs="宋体"/>
                <w:sz w:val="24"/>
                <w:szCs w:val="24"/>
              </w:rPr>
              <w:t>减</w:t>
            </w:r>
          </w:p>
        </w:tc>
        <w:tc>
          <w:tcPr>
            <w:tcW w:w="196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处理决定数量</w:t>
            </w:r>
          </w:p>
        </w:tc>
      </w:tr>
      <w:tr>
        <w:tblPrEx>
          <w:shd w:val="clear" w:color="auto" w:fill="auto"/>
          <w:tblCellMar>
            <w:top w:w="0" w:type="dxa"/>
            <w:left w:w="0" w:type="dxa"/>
            <w:bottom w:w="0" w:type="dxa"/>
            <w:right w:w="0" w:type="dxa"/>
          </w:tblCellMar>
        </w:tblPrEx>
        <w:trPr>
          <w:trHeight w:val="528"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行政许可</w:t>
            </w:r>
          </w:p>
        </w:tc>
        <w:tc>
          <w:tcPr>
            <w:tcW w:w="196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c>
          <w:tcPr>
            <w:tcW w:w="132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c>
          <w:tcPr>
            <w:tcW w:w="196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r>
      <w:tr>
        <w:tblPrEx>
          <w:shd w:val="clear" w:color="auto" w:fill="auto"/>
          <w:tblCellMar>
            <w:top w:w="0" w:type="dxa"/>
            <w:left w:w="0" w:type="dxa"/>
            <w:bottom w:w="0" w:type="dxa"/>
            <w:right w:w="0" w:type="dxa"/>
          </w:tblCellMar>
        </w:tblPrEx>
        <w:trPr>
          <w:trHeight w:val="550"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其他对外管理服务事项</w:t>
            </w:r>
          </w:p>
        </w:tc>
        <w:tc>
          <w:tcPr>
            <w:tcW w:w="196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c>
          <w:tcPr>
            <w:tcW w:w="132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c>
          <w:tcPr>
            <w:tcW w:w="196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r>
      <w:tr>
        <w:tblPrEx>
          <w:tblCellMar>
            <w:top w:w="0" w:type="dxa"/>
            <w:left w:w="0" w:type="dxa"/>
            <w:bottom w:w="0" w:type="dxa"/>
            <w:right w:w="0" w:type="dxa"/>
          </w:tblCellMar>
        </w:tblPrEx>
        <w:trPr>
          <w:trHeight w:val="406" w:hRule="atLeast"/>
          <w:jc w:val="center"/>
        </w:trPr>
        <w:tc>
          <w:tcPr>
            <w:tcW w:w="8503"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第二十条第（六）项</w:t>
            </w:r>
          </w:p>
        </w:tc>
      </w:tr>
      <w:tr>
        <w:tblPrEx>
          <w:tblCellMar>
            <w:top w:w="0" w:type="dxa"/>
            <w:left w:w="0" w:type="dxa"/>
            <w:bottom w:w="0" w:type="dxa"/>
            <w:right w:w="0" w:type="dxa"/>
          </w:tblCellMar>
        </w:tblPrEx>
        <w:trPr>
          <w:trHeight w:val="634"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信息内容</w:t>
            </w:r>
          </w:p>
        </w:tc>
        <w:tc>
          <w:tcPr>
            <w:tcW w:w="19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上一年项目数量</w:t>
            </w:r>
          </w:p>
        </w:tc>
        <w:tc>
          <w:tcPr>
            <w:tcW w:w="132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本年增</w:t>
            </w:r>
            <w:r>
              <w:rPr>
                <w:rFonts w:hint="eastAsia" w:ascii="微软雅黑" w:hAnsi="微软雅黑" w:eastAsia="微软雅黑" w:cs="微软雅黑"/>
                <w:sz w:val="24"/>
                <w:szCs w:val="24"/>
              </w:rPr>
              <w:t>/</w:t>
            </w:r>
            <w:r>
              <w:rPr>
                <w:rFonts w:hint="eastAsia" w:ascii="宋体" w:hAnsi="宋体" w:eastAsia="宋体" w:cs="宋体"/>
                <w:sz w:val="24"/>
                <w:szCs w:val="24"/>
              </w:rPr>
              <w:t>减</w:t>
            </w:r>
          </w:p>
        </w:tc>
        <w:tc>
          <w:tcPr>
            <w:tcW w:w="196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处理决定数量</w:t>
            </w:r>
          </w:p>
        </w:tc>
      </w:tr>
      <w:tr>
        <w:tblPrEx>
          <w:shd w:val="clear" w:color="auto" w:fill="auto"/>
          <w:tblCellMar>
            <w:top w:w="0" w:type="dxa"/>
            <w:left w:w="0" w:type="dxa"/>
            <w:bottom w:w="0" w:type="dxa"/>
            <w:right w:w="0" w:type="dxa"/>
          </w:tblCellMar>
        </w:tblPrEx>
        <w:trPr>
          <w:trHeight w:val="430"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行政处罚</w:t>
            </w:r>
          </w:p>
        </w:tc>
        <w:tc>
          <w:tcPr>
            <w:tcW w:w="196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c>
          <w:tcPr>
            <w:tcW w:w="132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c>
          <w:tcPr>
            <w:tcW w:w="196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r>
      <w:tr>
        <w:tblPrEx>
          <w:shd w:val="clear" w:color="auto" w:fill="auto"/>
          <w:tblCellMar>
            <w:top w:w="0" w:type="dxa"/>
            <w:left w:w="0" w:type="dxa"/>
            <w:bottom w:w="0" w:type="dxa"/>
            <w:right w:w="0" w:type="dxa"/>
          </w:tblCellMar>
        </w:tblPrEx>
        <w:trPr>
          <w:trHeight w:val="409"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行政强制</w:t>
            </w:r>
          </w:p>
        </w:tc>
        <w:tc>
          <w:tcPr>
            <w:tcW w:w="196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c>
          <w:tcPr>
            <w:tcW w:w="132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c>
          <w:tcPr>
            <w:tcW w:w="196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r>
      <w:tr>
        <w:tblPrEx>
          <w:shd w:val="clear" w:color="auto" w:fill="auto"/>
          <w:tblCellMar>
            <w:top w:w="0" w:type="dxa"/>
            <w:left w:w="0" w:type="dxa"/>
            <w:bottom w:w="0" w:type="dxa"/>
            <w:right w:w="0" w:type="dxa"/>
          </w:tblCellMar>
        </w:tblPrEx>
        <w:trPr>
          <w:trHeight w:val="474" w:hRule="atLeast"/>
          <w:jc w:val="center"/>
        </w:trPr>
        <w:tc>
          <w:tcPr>
            <w:tcW w:w="8503"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第二十条第（八）项</w:t>
            </w:r>
          </w:p>
        </w:tc>
      </w:tr>
      <w:tr>
        <w:tblPrEx>
          <w:tblCellMar>
            <w:top w:w="0" w:type="dxa"/>
            <w:left w:w="0" w:type="dxa"/>
            <w:bottom w:w="0" w:type="dxa"/>
            <w:right w:w="0" w:type="dxa"/>
          </w:tblCellMar>
        </w:tblPrEx>
        <w:trPr>
          <w:trHeight w:val="270"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信息内容</w:t>
            </w:r>
          </w:p>
        </w:tc>
        <w:tc>
          <w:tcPr>
            <w:tcW w:w="196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上一年项目数量</w:t>
            </w:r>
          </w:p>
        </w:tc>
        <w:tc>
          <w:tcPr>
            <w:tcW w:w="328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本年增</w:t>
            </w:r>
            <w:r>
              <w:rPr>
                <w:rFonts w:hint="eastAsia" w:ascii="微软雅黑" w:hAnsi="微软雅黑" w:eastAsia="微软雅黑" w:cs="微软雅黑"/>
                <w:sz w:val="24"/>
                <w:szCs w:val="24"/>
              </w:rPr>
              <w:t>/</w:t>
            </w:r>
            <w:r>
              <w:rPr>
                <w:rFonts w:hint="eastAsia" w:ascii="宋体" w:hAnsi="宋体" w:eastAsia="宋体" w:cs="宋体"/>
                <w:sz w:val="24"/>
                <w:szCs w:val="24"/>
              </w:rPr>
              <w:t>减</w:t>
            </w:r>
          </w:p>
        </w:tc>
      </w:tr>
      <w:tr>
        <w:tblPrEx>
          <w:shd w:val="clear" w:color="auto" w:fill="auto"/>
          <w:tblCellMar>
            <w:top w:w="0" w:type="dxa"/>
            <w:left w:w="0" w:type="dxa"/>
            <w:bottom w:w="0" w:type="dxa"/>
            <w:right w:w="0" w:type="dxa"/>
          </w:tblCellMar>
        </w:tblPrEx>
        <w:trPr>
          <w:trHeight w:val="551"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行政事业性收费</w:t>
            </w:r>
          </w:p>
        </w:tc>
        <w:tc>
          <w:tcPr>
            <w:tcW w:w="196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c>
          <w:tcPr>
            <w:tcW w:w="328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0</w:t>
            </w:r>
          </w:p>
        </w:tc>
      </w:tr>
      <w:tr>
        <w:tblPrEx>
          <w:tblCellMar>
            <w:top w:w="0" w:type="dxa"/>
            <w:left w:w="0" w:type="dxa"/>
            <w:bottom w:w="0" w:type="dxa"/>
            <w:right w:w="0" w:type="dxa"/>
          </w:tblCellMar>
        </w:tblPrEx>
        <w:trPr>
          <w:trHeight w:val="476" w:hRule="atLeast"/>
          <w:jc w:val="center"/>
        </w:trPr>
        <w:tc>
          <w:tcPr>
            <w:tcW w:w="8503"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第二十条第（九）项</w:t>
            </w:r>
          </w:p>
        </w:tc>
      </w:tr>
      <w:tr>
        <w:tblPrEx>
          <w:tblCellMar>
            <w:top w:w="0" w:type="dxa"/>
            <w:left w:w="0" w:type="dxa"/>
            <w:bottom w:w="0" w:type="dxa"/>
            <w:right w:w="0" w:type="dxa"/>
          </w:tblCellMar>
        </w:tblPrEx>
        <w:trPr>
          <w:trHeight w:val="585"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信息内容</w:t>
            </w:r>
          </w:p>
        </w:tc>
        <w:tc>
          <w:tcPr>
            <w:tcW w:w="1965"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采购项目数量</w:t>
            </w:r>
          </w:p>
        </w:tc>
        <w:tc>
          <w:tcPr>
            <w:tcW w:w="3286"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采购总金额</w:t>
            </w:r>
          </w:p>
        </w:tc>
      </w:tr>
      <w:tr>
        <w:tblPrEx>
          <w:shd w:val="clear" w:color="auto" w:fill="auto"/>
          <w:tblCellMar>
            <w:top w:w="0" w:type="dxa"/>
            <w:left w:w="0" w:type="dxa"/>
            <w:bottom w:w="0" w:type="dxa"/>
            <w:right w:w="0" w:type="dxa"/>
          </w:tblCellMar>
        </w:tblPrEx>
        <w:trPr>
          <w:trHeight w:val="539" w:hRule="atLeast"/>
          <w:jc w:val="center"/>
        </w:trPr>
        <w:tc>
          <w:tcPr>
            <w:tcW w:w="325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4"/>
                <w:szCs w:val="24"/>
              </w:rPr>
              <w:t>政府集中采购</w:t>
            </w:r>
          </w:p>
        </w:tc>
        <w:tc>
          <w:tcPr>
            <w:tcW w:w="1965"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c>
          <w:tcPr>
            <w:tcW w:w="3286"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r>
      <w:tr>
        <w:tblPrEx>
          <w:shd w:val="clear" w:color="auto" w:fill="auto"/>
          <w:tblCellMar>
            <w:top w:w="0" w:type="dxa"/>
            <w:left w:w="0" w:type="dxa"/>
            <w:bottom w:w="0" w:type="dxa"/>
            <w:right w:w="0" w:type="dxa"/>
          </w:tblCellMar>
        </w:tblPrEx>
        <w:trPr>
          <w:trHeight w:val="0" w:hRule="atLeast"/>
          <w:jc w:val="center"/>
        </w:trPr>
        <w:tc>
          <w:tcPr>
            <w:tcW w:w="3255" w:type="dxa"/>
            <w:shd w:val="clear" w:color="auto" w:fill="auto"/>
            <w:vAlign w:val="center"/>
          </w:tcPr>
          <w:p>
            <w:pPr>
              <w:rPr>
                <w:rFonts w:hint="eastAsia" w:ascii="微软雅黑" w:hAnsi="微软雅黑" w:eastAsia="微软雅黑" w:cs="微软雅黑"/>
                <w:sz w:val="24"/>
                <w:szCs w:val="24"/>
              </w:rPr>
            </w:pPr>
          </w:p>
        </w:tc>
        <w:tc>
          <w:tcPr>
            <w:tcW w:w="1965" w:type="dxa"/>
            <w:shd w:val="clear" w:color="auto" w:fill="auto"/>
            <w:vAlign w:val="center"/>
          </w:tcPr>
          <w:p>
            <w:pPr>
              <w:rPr>
                <w:rFonts w:hint="eastAsia" w:ascii="微软雅黑" w:hAnsi="微软雅黑" w:eastAsia="微软雅黑" w:cs="微软雅黑"/>
                <w:sz w:val="24"/>
                <w:szCs w:val="24"/>
              </w:rPr>
            </w:pPr>
          </w:p>
        </w:tc>
        <w:tc>
          <w:tcPr>
            <w:tcW w:w="6" w:type="dxa"/>
            <w:shd w:val="clear" w:color="auto" w:fill="auto"/>
            <w:vAlign w:val="center"/>
          </w:tcPr>
          <w:p>
            <w:pPr>
              <w:rPr>
                <w:rFonts w:hint="eastAsia" w:ascii="微软雅黑" w:hAnsi="微软雅黑" w:eastAsia="微软雅黑" w:cs="微软雅黑"/>
                <w:sz w:val="24"/>
                <w:szCs w:val="24"/>
              </w:rPr>
            </w:pPr>
          </w:p>
        </w:tc>
        <w:tc>
          <w:tcPr>
            <w:tcW w:w="1320" w:type="dxa"/>
            <w:shd w:val="clear" w:color="auto" w:fill="auto"/>
            <w:vAlign w:val="center"/>
          </w:tcPr>
          <w:p>
            <w:pPr>
              <w:rPr>
                <w:rFonts w:hint="eastAsia" w:ascii="微软雅黑" w:hAnsi="微软雅黑" w:eastAsia="微软雅黑" w:cs="微软雅黑"/>
                <w:sz w:val="24"/>
                <w:szCs w:val="24"/>
              </w:rPr>
            </w:pPr>
          </w:p>
        </w:tc>
        <w:tc>
          <w:tcPr>
            <w:tcW w:w="1965" w:type="dxa"/>
            <w:shd w:val="clear" w:color="auto" w:fill="auto"/>
            <w:vAlign w:val="center"/>
          </w:tcPr>
          <w:p>
            <w:pPr>
              <w:rPr>
                <w:rFonts w:hint="eastAsia" w:ascii="微软雅黑" w:hAnsi="微软雅黑" w:eastAsia="微软雅黑" w:cs="微软雅黑"/>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shd w:val="clear" w:fill="FFFFFF"/>
        </w:rPr>
        <w:t>三、收到和处理政府信息公开申请情况</w:t>
      </w:r>
    </w:p>
    <w:tbl>
      <w:tblPr>
        <w:tblStyle w:val="4"/>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8"/>
        <w:gridCol w:w="848"/>
        <w:gridCol w:w="2811"/>
        <w:gridCol w:w="548"/>
        <w:gridCol w:w="702"/>
        <w:gridCol w:w="632"/>
        <w:gridCol w:w="687"/>
        <w:gridCol w:w="660"/>
        <w:gridCol w:w="534"/>
        <w:gridCol w:w="4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9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（本列数据的勾稽关系为：第一项加第二项之和，等于第三项加第四项之和）</w:t>
            </w:r>
          </w:p>
        </w:tc>
        <w:tc>
          <w:tcPr>
            <w:tcW w:w="420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97" w:type="dxa"/>
            <w:gridSpan w:val="3"/>
            <w:vMerge w:val="continue"/>
            <w:tcBorders>
              <w:top w:val="single" w:color="auto" w:sz="8" w:space="0"/>
              <w:left w:val="single" w:color="auto" w:sz="8" w:space="0"/>
              <w:bottom w:val="single" w:color="auto" w:sz="8" w:space="0"/>
              <w:right w:val="single" w:color="auto" w:sz="8" w:space="0"/>
            </w:tcBorders>
            <w:shd w:val="clear" w:color="auto" w:fill="F7F7F7"/>
            <w:tcMar>
              <w:left w:w="108" w:type="dxa"/>
              <w:right w:w="108" w:type="dxa"/>
            </w:tcMar>
            <w:vAlign w:val="center"/>
          </w:tcPr>
          <w:p>
            <w:pPr>
              <w:rPr>
                <w:rFonts w:hint="eastAsia" w:ascii="微软雅黑" w:hAnsi="微软雅黑" w:eastAsia="微软雅黑" w:cs="微软雅黑"/>
                <w:sz w:val="24"/>
                <w:szCs w:val="24"/>
              </w:rPr>
            </w:pPr>
          </w:p>
        </w:tc>
        <w:tc>
          <w:tcPr>
            <w:tcW w:w="548" w:type="dxa"/>
            <w:vMerge w:val="restart"/>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自然人</w:t>
            </w:r>
          </w:p>
        </w:tc>
        <w:tc>
          <w:tcPr>
            <w:tcW w:w="3215" w:type="dxa"/>
            <w:gridSpan w:val="5"/>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法人或其他组织</w:t>
            </w:r>
          </w:p>
        </w:tc>
        <w:tc>
          <w:tcPr>
            <w:tcW w:w="444" w:type="dxa"/>
            <w:vMerge w:val="restart"/>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5" w:hRule="atLeast"/>
          <w:jc w:val="center"/>
        </w:trPr>
        <w:tc>
          <w:tcPr>
            <w:tcW w:w="429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4"/>
                <w:szCs w:val="24"/>
              </w:rPr>
            </w:pPr>
          </w:p>
        </w:tc>
        <w:tc>
          <w:tcPr>
            <w:tcW w:w="5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4"/>
                <w:szCs w:val="24"/>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商业企业</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科研机构</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社会公益组织</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法律服务机构</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其他</w:t>
            </w:r>
          </w:p>
        </w:tc>
        <w:tc>
          <w:tcPr>
            <w:tcW w:w="44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4297" w:type="dxa"/>
            <w:gridSpan w:val="3"/>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一、本年新收政府信息公开申请数量</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2</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9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二、上年结转政府信息公开申请数量</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restart"/>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三、本年度办理结果</w:t>
            </w:r>
          </w:p>
        </w:tc>
        <w:tc>
          <w:tcPr>
            <w:tcW w:w="3659" w:type="dxa"/>
            <w:gridSpan w:val="2"/>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（一）予以公开</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imes New Roman" w:hAnsi="Times New Roman" w:cs="Times New Roman" w:eastAsiaTheme="minorEastAsia"/>
                <w:sz w:val="24"/>
                <w:szCs w:val="24"/>
                <w:lang w:eastAsia="zh-CN"/>
              </w:rPr>
            </w:pPr>
            <w:r>
              <w:rPr>
                <w:rFonts w:hint="eastAsia" w:ascii="Calibri" w:hAnsi="Calibri" w:eastAsia="微软雅黑" w:cs="Calibri"/>
                <w:sz w:val="21"/>
                <w:szCs w:val="21"/>
                <w:lang w:val="en-US" w:eastAsia="zh-CN"/>
              </w:rPr>
              <w:t>2</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3659"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（二）部分公开（区分处理的，只计这一情形，不计其他情形）</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848" w:type="dxa"/>
            <w:vMerge w:val="restart"/>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（三）不予公开</w:t>
            </w:r>
          </w:p>
        </w:tc>
        <w:tc>
          <w:tcPr>
            <w:tcW w:w="2811"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1.属于国家秘密</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2.其他法律行政法规禁止公开</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3.危及“三安全一稳定”</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4.保护第三方合法权益</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5.属于三类内部事务信息</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jc w:val="center"/>
              <w:rPr>
                <w:rFonts w:hint="eastAsia" w:ascii="Times New Roman" w:hAnsi="Times New Roman" w:cs="Times New Roman" w:eastAsiaTheme="minorEastAsia"/>
                <w:sz w:val="24"/>
                <w:szCs w:val="24"/>
                <w:lang w:eastAsia="zh-CN"/>
              </w:rPr>
            </w:pPr>
            <w:r>
              <w:rPr>
                <w:rFonts w:hint="eastAsia" w:ascii="宋体" w:hAnsi="宋体" w:eastAsia="宋体" w:cs="宋体"/>
                <w:sz w:val="21"/>
                <w:szCs w:val="21"/>
                <w:lang w:val="en-US" w:eastAsia="zh-CN"/>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6.属于四类过程性信息</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7.属于行政执法案卷</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8.属于行政查询事项</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848" w:type="dxa"/>
            <w:vMerge w:val="restart"/>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（四）无法提供</w:t>
            </w:r>
          </w:p>
        </w:tc>
        <w:tc>
          <w:tcPr>
            <w:tcW w:w="2811"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1.本机关不掌握相关政府信息</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2.没有现成信息需要另行制作</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F7F7F7"/>
            <w:tcMar>
              <w:left w:w="108" w:type="dxa"/>
              <w:right w:w="108" w:type="dxa"/>
            </w:tcMar>
            <w:vAlign w:val="center"/>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3.补正后申请内容仍不明确</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84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（五）不予处理</w:t>
            </w:r>
          </w:p>
        </w:tc>
        <w:tc>
          <w:tcPr>
            <w:tcW w:w="28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1.信访举报投诉类申请</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F7F7F7"/>
            <w:tcMar>
              <w:left w:w="108" w:type="dxa"/>
              <w:right w:w="108" w:type="dxa"/>
            </w:tcMar>
            <w:vAlign w:val="center"/>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2.重复申请</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3.要求提供公开出版物</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F7F7F7"/>
            <w:tcMar>
              <w:left w:w="108" w:type="dxa"/>
              <w:right w:w="108" w:type="dxa"/>
            </w:tcMar>
            <w:vAlign w:val="center"/>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4.无正当理由大量反复申请</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8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4"/>
                <w:szCs w:val="24"/>
              </w:rPr>
            </w:pPr>
          </w:p>
        </w:tc>
        <w:tc>
          <w:tcPr>
            <w:tcW w:w="28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5.要求行政机关确认或重新出具已获取信息</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638"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rPr>
                <w:rFonts w:hint="eastAsia" w:ascii="微软雅黑" w:hAnsi="微软雅黑" w:eastAsia="微软雅黑" w:cs="微软雅黑"/>
                <w:sz w:val="24"/>
                <w:szCs w:val="24"/>
              </w:rPr>
            </w:pPr>
          </w:p>
        </w:tc>
        <w:tc>
          <w:tcPr>
            <w:tcW w:w="3659" w:type="dxa"/>
            <w:gridSpan w:val="2"/>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（六）其他处理</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微软雅黑" w:hAnsi="微软雅黑" w:eastAsia="微软雅黑" w:cs="微软雅黑"/>
                <w:sz w:val="24"/>
                <w:szCs w:val="24"/>
              </w:rPr>
            </w:pPr>
          </w:p>
        </w:tc>
        <w:tc>
          <w:tcPr>
            <w:tcW w:w="3659"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（七）总计</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97" w:type="dxa"/>
            <w:gridSpan w:val="3"/>
            <w:tcBorders>
              <w:top w:val="nil"/>
              <w:left w:val="single" w:color="auto" w:sz="8" w:space="0"/>
              <w:bottom w:val="single" w:color="auto" w:sz="8" w:space="0"/>
              <w:right w:val="single" w:color="auto" w:sz="8" w:space="0"/>
            </w:tcBorders>
            <w:shd w:val="clear" w:color="auto" w:fill="F7F7F7"/>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Times New Roman" w:hAnsi="Times New Roman" w:cs="Times New Roman"/>
                <w:sz w:val="24"/>
                <w:szCs w:val="24"/>
              </w:rPr>
            </w:pPr>
            <w:r>
              <w:rPr>
                <w:rFonts w:hint="eastAsia" w:ascii="宋体" w:hAnsi="宋体" w:eastAsia="宋体" w:cs="宋体"/>
                <w:sz w:val="21"/>
                <w:szCs w:val="21"/>
              </w:rPr>
              <w:t>四、结转下年度继续办理</w:t>
            </w:r>
          </w:p>
        </w:tc>
        <w:tc>
          <w:tcPr>
            <w:tcW w:w="54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70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3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87"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66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53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c>
          <w:tcPr>
            <w:tcW w:w="444"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shd w:val="clear" w:fill="FFFFFF"/>
        </w:rPr>
        <w:t>四、政府信息公开行政复议、行政诉讼情况</w:t>
      </w:r>
    </w:p>
    <w:tbl>
      <w:tblPr>
        <w:tblStyle w:val="4"/>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13"/>
        <w:gridCol w:w="606"/>
        <w:gridCol w:w="590"/>
        <w:gridCol w:w="585"/>
        <w:gridCol w:w="450"/>
        <w:gridCol w:w="574"/>
        <w:gridCol w:w="621"/>
        <w:gridCol w:w="622"/>
        <w:gridCol w:w="532"/>
        <w:gridCol w:w="531"/>
        <w:gridCol w:w="567"/>
        <w:gridCol w:w="574"/>
        <w:gridCol w:w="621"/>
        <w:gridCol w:w="608"/>
        <w:gridCol w:w="4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878"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行政复议</w:t>
            </w:r>
          </w:p>
        </w:tc>
        <w:tc>
          <w:tcPr>
            <w:tcW w:w="5626"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29" w:type="dxa"/>
            <w:vMerge w:val="restart"/>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结果维持</w:t>
            </w:r>
          </w:p>
        </w:tc>
        <w:tc>
          <w:tcPr>
            <w:tcW w:w="612" w:type="dxa"/>
            <w:vMerge w:val="restart"/>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结果纠正</w:t>
            </w:r>
          </w:p>
        </w:tc>
        <w:tc>
          <w:tcPr>
            <w:tcW w:w="595" w:type="dxa"/>
            <w:vMerge w:val="restart"/>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其他结果</w:t>
            </w:r>
          </w:p>
        </w:tc>
        <w:tc>
          <w:tcPr>
            <w:tcW w:w="590" w:type="dxa"/>
            <w:vMerge w:val="restart"/>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尚未审结</w:t>
            </w:r>
          </w:p>
        </w:tc>
        <w:tc>
          <w:tcPr>
            <w:tcW w:w="452" w:type="dxa"/>
            <w:vMerge w:val="restart"/>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总计</w:t>
            </w:r>
          </w:p>
        </w:tc>
        <w:tc>
          <w:tcPr>
            <w:tcW w:w="2797" w:type="dxa"/>
            <w:gridSpan w:val="5"/>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未经复议直接起诉</w:t>
            </w:r>
          </w:p>
        </w:tc>
        <w:tc>
          <w:tcPr>
            <w:tcW w:w="2829" w:type="dxa"/>
            <w:gridSpan w:val="5"/>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2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sz w:val="24"/>
                <w:szCs w:val="24"/>
              </w:rPr>
            </w:pPr>
          </w:p>
        </w:tc>
        <w:tc>
          <w:tcPr>
            <w:tcW w:w="61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sz w:val="24"/>
                <w:szCs w:val="24"/>
              </w:rPr>
            </w:pPr>
          </w:p>
        </w:tc>
        <w:tc>
          <w:tcPr>
            <w:tcW w:w="5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sz w:val="24"/>
                <w:szCs w:val="24"/>
              </w:rPr>
            </w:pPr>
          </w:p>
        </w:tc>
        <w:tc>
          <w:tcPr>
            <w:tcW w:w="59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sz w:val="24"/>
                <w:szCs w:val="24"/>
              </w:rPr>
            </w:pPr>
          </w:p>
        </w:tc>
        <w:tc>
          <w:tcPr>
            <w:tcW w:w="45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sz w:val="24"/>
                <w:szCs w:val="24"/>
              </w:rPr>
            </w:pPr>
          </w:p>
        </w:tc>
        <w:tc>
          <w:tcPr>
            <w:tcW w:w="5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结果维持</w:t>
            </w:r>
          </w:p>
        </w:tc>
        <w:tc>
          <w:tcPr>
            <w:tcW w:w="62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结果纠正</w:t>
            </w:r>
          </w:p>
        </w:tc>
        <w:tc>
          <w:tcPr>
            <w:tcW w:w="6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其他结果</w:t>
            </w:r>
          </w:p>
        </w:tc>
        <w:tc>
          <w:tcPr>
            <w:tcW w:w="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尚未审结</w:t>
            </w:r>
          </w:p>
        </w:tc>
        <w:tc>
          <w:tcPr>
            <w:tcW w:w="4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总计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结果维持</w:t>
            </w:r>
          </w:p>
        </w:tc>
        <w:tc>
          <w:tcPr>
            <w:tcW w:w="5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结果纠正</w:t>
            </w:r>
          </w:p>
        </w:tc>
        <w:tc>
          <w:tcPr>
            <w:tcW w:w="62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其他结果</w:t>
            </w:r>
          </w:p>
        </w:tc>
        <w:tc>
          <w:tcPr>
            <w:tcW w:w="6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尚未审结</w:t>
            </w:r>
          </w:p>
        </w:tc>
        <w:tc>
          <w:tcPr>
            <w:tcW w:w="4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5" w:hRule="atLeast"/>
          <w:jc w:val="center"/>
        </w:trPr>
        <w:tc>
          <w:tcPr>
            <w:tcW w:w="629" w:type="dxa"/>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c>
          <w:tcPr>
            <w:tcW w:w="61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0 </w:t>
            </w:r>
          </w:p>
        </w:tc>
        <w:tc>
          <w:tcPr>
            <w:tcW w:w="595"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 0</w:t>
            </w:r>
          </w:p>
        </w:tc>
        <w:tc>
          <w:tcPr>
            <w:tcW w:w="59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 0</w:t>
            </w:r>
          </w:p>
        </w:tc>
        <w:tc>
          <w:tcPr>
            <w:tcW w:w="45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c>
          <w:tcPr>
            <w:tcW w:w="57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0 </w:t>
            </w:r>
          </w:p>
        </w:tc>
        <w:tc>
          <w:tcPr>
            <w:tcW w:w="629"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 0</w:t>
            </w:r>
          </w:p>
        </w:tc>
        <w:tc>
          <w:tcPr>
            <w:tcW w:w="630"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0 </w:t>
            </w:r>
          </w:p>
        </w:tc>
        <w:tc>
          <w:tcPr>
            <w:tcW w:w="532"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0 </w:t>
            </w:r>
          </w:p>
        </w:tc>
        <w:tc>
          <w:tcPr>
            <w:tcW w:w="42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 0</w:t>
            </w:r>
          </w:p>
        </w:tc>
        <w:tc>
          <w:tcPr>
            <w:tcW w:w="579"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Calibri" w:hAnsi="Calibri" w:eastAsia="微软雅黑" w:cs="Calibri"/>
                <w:sz w:val="21"/>
                <w:szCs w:val="21"/>
              </w:rPr>
              <w:t>0</w:t>
            </w:r>
          </w:p>
        </w:tc>
        <w:tc>
          <w:tcPr>
            <w:tcW w:w="57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0 </w:t>
            </w:r>
          </w:p>
        </w:tc>
        <w:tc>
          <w:tcPr>
            <w:tcW w:w="629"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 0</w:t>
            </w:r>
          </w:p>
        </w:tc>
        <w:tc>
          <w:tcPr>
            <w:tcW w:w="615"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eastAsia" w:ascii="宋体" w:hAnsi="宋体" w:eastAsia="宋体" w:cs="宋体"/>
                <w:color w:val="333333"/>
                <w:sz w:val="21"/>
                <w:szCs w:val="21"/>
              </w:rPr>
              <w:t> 0</w:t>
            </w:r>
          </w:p>
        </w:tc>
        <w:tc>
          <w:tcPr>
            <w:tcW w:w="428" w:type="dxa"/>
            <w:tcBorders>
              <w:top w:val="nil"/>
              <w:left w:val="nil"/>
              <w:bottom w:val="single" w:color="auto" w:sz="8" w:space="0"/>
              <w:right w:val="single" w:color="auto" w:sz="8" w:space="0"/>
            </w:tcBorders>
            <w:shd w:val="clear" w:color="auto" w:fill="F7F7F7"/>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cs="Times New Roman"/>
                <w:sz w:val="24"/>
                <w:szCs w:val="24"/>
              </w:rPr>
            </w:pPr>
            <w:r>
              <w:rPr>
                <w:rFonts w:hint="default" w:ascii="Calibri" w:hAnsi="Calibri" w:eastAsia="微软雅黑" w:cs="Calibri"/>
                <w:sz w:val="21"/>
                <w:szCs w:val="21"/>
              </w:rPr>
              <w:t>0</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ascii="仿宋" w:hAnsi="仿宋" w:eastAsia="仿宋" w:cs="仿宋"/>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sz w:val="32"/>
          <w:szCs w:val="32"/>
          <w:shd w:val="clear" w:fill="FFFFFF"/>
          <w:lang w:eastAsia="zh-CN"/>
        </w:rPr>
        <w:t>五、</w:t>
      </w:r>
      <w:r>
        <w:rPr>
          <w:rFonts w:hint="eastAsia" w:ascii="黑体" w:hAnsi="宋体" w:eastAsia="黑体" w:cs="黑体"/>
          <w:i w:val="0"/>
          <w:caps w:val="0"/>
          <w:color w:val="333333"/>
          <w:spacing w:val="0"/>
          <w:sz w:val="32"/>
          <w:szCs w:val="32"/>
          <w:shd w:val="clear" w:fill="FFFFFF"/>
        </w:rPr>
        <w:t>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4" w:right="17" w:firstLine="640"/>
        <w:textAlignment w:val="baseline"/>
        <w:rPr>
          <w:rFonts w:hint="default" w:ascii="Times New Roman" w:hAnsi="Times New Roman" w:cs="Times New Roman"/>
          <w:i w:val="0"/>
          <w:caps w:val="0"/>
          <w:color w:val="333333"/>
          <w:spacing w:val="0"/>
          <w:sz w:val="24"/>
          <w:szCs w:val="24"/>
        </w:rPr>
      </w:pPr>
      <w:r>
        <w:rPr>
          <w:rFonts w:ascii="仿宋" w:hAnsi="仿宋" w:eastAsia="仿宋" w:cs="仿宋"/>
          <w:b/>
          <w:bCs/>
          <w:i w:val="0"/>
          <w:caps w:val="0"/>
          <w:color w:val="333333"/>
          <w:spacing w:val="0"/>
          <w:kern w:val="0"/>
          <w:sz w:val="32"/>
          <w:szCs w:val="32"/>
          <w:shd w:val="clear" w:fill="FFFFFF"/>
          <w:lang w:val="en-US" w:eastAsia="zh-CN" w:bidi="ar"/>
        </w:rPr>
        <w:t>主要问题：</w:t>
      </w:r>
      <w:r>
        <w:rPr>
          <w:rFonts w:ascii="仿宋" w:hAnsi="仿宋" w:eastAsia="仿宋" w:cs="仿宋"/>
          <w:i w:val="0"/>
          <w:caps w:val="0"/>
          <w:color w:val="333333"/>
          <w:spacing w:val="0"/>
          <w:kern w:val="0"/>
          <w:sz w:val="32"/>
          <w:szCs w:val="32"/>
          <w:shd w:val="clear" w:fill="FFFFFF"/>
          <w:lang w:val="en-US" w:eastAsia="zh-CN" w:bidi="ar"/>
        </w:rPr>
        <w:t>一是</w:t>
      </w:r>
      <w:r>
        <w:rPr>
          <w:rFonts w:hint="eastAsia" w:ascii="仿宋" w:hAnsi="仿宋" w:eastAsia="仿宋" w:cs="仿宋"/>
          <w:i w:val="0"/>
          <w:caps w:val="0"/>
          <w:color w:val="000000"/>
          <w:spacing w:val="0"/>
          <w:sz w:val="32"/>
          <w:szCs w:val="32"/>
          <w:shd w:val="clear" w:fill="FFFFFF"/>
          <w:vertAlign w:val="baseline"/>
        </w:rPr>
        <w:t>机制尚需健全。目前，</w:t>
      </w:r>
      <w:r>
        <w:rPr>
          <w:rFonts w:hint="eastAsia" w:ascii="仿宋" w:hAnsi="仿宋" w:eastAsia="仿宋" w:cs="仿宋"/>
          <w:i w:val="0"/>
          <w:caps w:val="0"/>
          <w:color w:val="000000"/>
          <w:spacing w:val="0"/>
          <w:sz w:val="32"/>
          <w:szCs w:val="32"/>
          <w:shd w:val="clear" w:fill="FFFFFF"/>
          <w:vertAlign w:val="baseline"/>
          <w:lang w:eastAsia="zh-CN"/>
        </w:rPr>
        <w:t>我局存在信息工作人员</w:t>
      </w:r>
      <w:r>
        <w:rPr>
          <w:rFonts w:hint="eastAsia" w:ascii="仿宋" w:hAnsi="仿宋" w:eastAsia="仿宋" w:cs="仿宋"/>
          <w:i w:val="0"/>
          <w:caps w:val="0"/>
          <w:color w:val="000000"/>
          <w:spacing w:val="0"/>
          <w:sz w:val="32"/>
          <w:szCs w:val="32"/>
          <w:shd w:val="clear" w:fill="FFFFFF"/>
          <w:vertAlign w:val="baseline"/>
        </w:rPr>
        <w:t>不足的问题，</w:t>
      </w:r>
      <w:r>
        <w:rPr>
          <w:rFonts w:ascii="微软雅黑" w:hAnsi="微软雅黑" w:eastAsia="微软雅黑" w:cs="微软雅黑"/>
          <w:i w:val="0"/>
          <w:caps w:val="0"/>
          <w:color w:val="000000"/>
          <w:spacing w:val="0"/>
          <w:sz w:val="32"/>
          <w:szCs w:val="32"/>
          <w:shd w:val="clear" w:fill="FFFFFF"/>
          <w:vertAlign w:val="baseline"/>
        </w:rPr>
        <w:t>,</w:t>
      </w:r>
      <w:r>
        <w:rPr>
          <w:rFonts w:hint="eastAsia" w:ascii="仿宋" w:hAnsi="仿宋" w:eastAsia="仿宋" w:cs="仿宋"/>
          <w:i w:val="0"/>
          <w:caps w:val="0"/>
          <w:color w:val="000000"/>
          <w:spacing w:val="0"/>
          <w:sz w:val="32"/>
          <w:szCs w:val="32"/>
          <w:shd w:val="clear" w:fill="FFFFFF"/>
          <w:vertAlign w:val="baseline"/>
        </w:rPr>
        <w:t>一定程度上影响了信息发布的质量。</w:t>
      </w:r>
      <w:r>
        <w:rPr>
          <w:rFonts w:hint="eastAsia" w:ascii="仿宋" w:hAnsi="仿宋" w:eastAsia="仿宋" w:cs="仿宋"/>
          <w:i w:val="0"/>
          <w:caps w:val="0"/>
          <w:color w:val="000000"/>
          <w:spacing w:val="0"/>
          <w:sz w:val="32"/>
          <w:szCs w:val="32"/>
          <w:shd w:val="clear" w:fill="FFFFFF"/>
          <w:vertAlign w:val="baseline"/>
          <w:lang w:eastAsia="zh-CN"/>
        </w:rPr>
        <w:t>二是</w:t>
      </w:r>
      <w:r>
        <w:rPr>
          <w:rFonts w:hint="eastAsia" w:ascii="仿宋" w:hAnsi="仿宋" w:eastAsia="仿宋" w:cs="仿宋"/>
          <w:i w:val="0"/>
          <w:caps w:val="0"/>
          <w:color w:val="000000"/>
          <w:spacing w:val="0"/>
          <w:sz w:val="32"/>
          <w:szCs w:val="32"/>
          <w:shd w:val="clear" w:fill="FFFFFF"/>
          <w:vertAlign w:val="baseline"/>
        </w:rPr>
        <w:t>政府信息公开的宣传力度不够，便民服务还需要进一步加强。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4" w:right="17" w:firstLine="640"/>
        <w:textAlignment w:val="baseline"/>
        <w:rPr>
          <w:rFonts w:hint="default" w:ascii="仿宋" w:hAnsi="仿宋" w:eastAsia="仿宋" w:cs="仿宋"/>
          <w:i w:val="0"/>
          <w:caps w:val="0"/>
          <w:color w:val="000000"/>
          <w:spacing w:val="0"/>
          <w:sz w:val="32"/>
          <w:szCs w:val="32"/>
          <w:shd w:val="clear" w:fill="FFFFFF"/>
          <w:vertAlign w:val="baseline"/>
          <w:lang w:eastAsia="zh-CN"/>
        </w:rPr>
      </w:pPr>
      <w:r>
        <w:rPr>
          <w:rFonts w:ascii="仿宋" w:hAnsi="仿宋" w:eastAsia="仿宋" w:cs="仿宋"/>
          <w:b/>
          <w:bCs/>
          <w:i w:val="0"/>
          <w:caps w:val="0"/>
          <w:color w:val="333333"/>
          <w:spacing w:val="0"/>
          <w:kern w:val="0"/>
          <w:sz w:val="32"/>
          <w:szCs w:val="32"/>
          <w:shd w:val="clear" w:fill="FFFFFF"/>
          <w:lang w:val="en-US" w:eastAsia="zh-CN" w:bidi="ar"/>
        </w:rPr>
        <w:t>改进措施：</w:t>
      </w:r>
      <w:r>
        <w:rPr>
          <w:rFonts w:hint="eastAsia" w:ascii="仿宋" w:hAnsi="仿宋" w:eastAsia="仿宋" w:cs="仿宋"/>
          <w:i w:val="0"/>
          <w:caps w:val="0"/>
          <w:color w:val="000000"/>
          <w:spacing w:val="0"/>
          <w:sz w:val="32"/>
          <w:szCs w:val="32"/>
          <w:shd w:val="clear" w:fill="FFFFFF"/>
          <w:vertAlign w:val="baseline"/>
          <w:lang w:eastAsia="zh-CN"/>
        </w:rPr>
        <w:t>一是</w:t>
      </w:r>
      <w:r>
        <w:rPr>
          <w:rFonts w:hint="eastAsia" w:ascii="仿宋" w:hAnsi="仿宋" w:eastAsia="仿宋" w:cs="仿宋"/>
          <w:i w:val="0"/>
          <w:caps w:val="0"/>
          <w:color w:val="000000"/>
          <w:spacing w:val="0"/>
          <w:sz w:val="32"/>
          <w:szCs w:val="32"/>
          <w:shd w:val="clear" w:fill="FFFFFF"/>
          <w:vertAlign w:val="baseline"/>
        </w:rPr>
        <w:t>建立工作机构，强化组织保障。做到机构健全、制度完善、责任到人，建立起各负其责、运转协调的政府信息公开长效机制。</w:t>
      </w:r>
      <w:r>
        <w:rPr>
          <w:rFonts w:hint="eastAsia" w:ascii="仿宋" w:hAnsi="仿宋" w:eastAsia="仿宋" w:cs="仿宋"/>
          <w:i w:val="0"/>
          <w:caps w:val="0"/>
          <w:color w:val="000000"/>
          <w:spacing w:val="0"/>
          <w:sz w:val="32"/>
          <w:szCs w:val="32"/>
          <w:shd w:val="clear" w:fill="FFFFFF"/>
          <w:vertAlign w:val="baseline"/>
          <w:lang w:eastAsia="zh-CN"/>
        </w:rPr>
        <w:t>二是</w:t>
      </w:r>
      <w:r>
        <w:rPr>
          <w:rFonts w:hint="eastAsia" w:ascii="仿宋" w:hAnsi="仿宋" w:eastAsia="仿宋" w:cs="仿宋"/>
          <w:i w:val="0"/>
          <w:caps w:val="0"/>
          <w:color w:val="000000"/>
          <w:spacing w:val="0"/>
          <w:sz w:val="32"/>
          <w:szCs w:val="32"/>
          <w:shd w:val="clear" w:fill="FFFFFF"/>
          <w:vertAlign w:val="baseline"/>
        </w:rPr>
        <w:t>夯实信息内容，建立多样化的公开形式。进一步提升政府网站的服务功能，进一步完善</w:t>
      </w:r>
      <w:r>
        <w:rPr>
          <w:rFonts w:hint="eastAsia" w:ascii="仿宋" w:hAnsi="仿宋" w:eastAsia="仿宋" w:cs="仿宋"/>
          <w:i w:val="0"/>
          <w:caps w:val="0"/>
          <w:color w:val="000000"/>
          <w:spacing w:val="0"/>
          <w:sz w:val="32"/>
          <w:szCs w:val="32"/>
          <w:shd w:val="clear" w:fill="FFFFFF"/>
          <w:vertAlign w:val="baseline"/>
          <w:lang w:eastAsia="zh-CN"/>
        </w:rPr>
        <w:t>政府信息公开的内容及形式。三是进一步规范、细化政府信息公开工作检查考核制度，保证网站信息及时更新。同时严格按照政府信息公开审核制度，落实审核责任。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宋体" w:eastAsia="黑体" w:cs="黑体"/>
          <w:i w:val="0"/>
          <w:caps w:val="0"/>
          <w:color w:val="333333"/>
          <w:spacing w:val="0"/>
          <w:sz w:val="32"/>
          <w:szCs w:val="32"/>
          <w:shd w:val="clear" w:fill="FFFFFF"/>
          <w:lang w:val="en-US" w:eastAsia="zh-CN"/>
        </w:rPr>
      </w:pPr>
      <w:r>
        <w:rPr>
          <w:rFonts w:hint="eastAsia" w:ascii="黑体" w:hAnsi="宋体" w:eastAsia="黑体" w:cs="黑体"/>
          <w:i w:val="0"/>
          <w:caps w:val="0"/>
          <w:color w:val="333333"/>
          <w:spacing w:val="0"/>
          <w:sz w:val="32"/>
          <w:szCs w:val="32"/>
          <w:shd w:val="clear" w:fill="FFFFFF"/>
          <w:lang w:val="en-US" w:eastAsia="zh-CN"/>
        </w:rPr>
        <w:t>六、其他需要报告的事项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宋体" w:eastAsia="仿宋_GB2312" w:cs="仿宋_GB2312"/>
          <w:b w:val="0"/>
          <w:bCs w:val="0"/>
          <w:i w:val="0"/>
          <w:iCs w:val="0"/>
          <w:caps w:val="0"/>
          <w:color w:val="333333"/>
          <w:spacing w:val="0"/>
          <w:sz w:val="32"/>
          <w:szCs w:val="32"/>
          <w:shd w:val="clear" w:fill="FFFFFF"/>
        </w:rPr>
      </w:pPr>
      <w:r>
        <w:rPr>
          <w:rFonts w:ascii="仿宋_GB2312" w:hAnsi="Times New Roman" w:eastAsia="仿宋_GB2312" w:cs="仿宋_GB2312"/>
          <w:b w:val="0"/>
          <w:bCs w:val="0"/>
          <w:i w:val="0"/>
          <w:iCs w:val="0"/>
          <w:caps w:val="0"/>
          <w:color w:val="333333"/>
          <w:spacing w:val="0"/>
          <w:sz w:val="32"/>
          <w:szCs w:val="32"/>
          <w:shd w:val="clear" w:fill="FFFFFF"/>
        </w:rPr>
        <w:t>按照《国务院办公厅关于印发</w:t>
      </w:r>
      <w:r>
        <w:rPr>
          <w:rFonts w:hint="default" w:ascii="Times New Roman" w:hAnsi="Times New Roman" w:eastAsia="仿宋_GB2312" w:cs="Times New Roman"/>
          <w:b w:val="0"/>
          <w:bCs w:val="0"/>
          <w:i w:val="0"/>
          <w:iCs w:val="0"/>
          <w:caps w:val="0"/>
          <w:color w:val="333333"/>
          <w:spacing w:val="0"/>
          <w:sz w:val="32"/>
          <w:szCs w:val="32"/>
          <w:shd w:val="clear" w:fill="FFFFFF"/>
        </w:rPr>
        <w:t>&lt;</w:t>
      </w:r>
      <w:r>
        <w:rPr>
          <w:rFonts w:hint="eastAsia" w:ascii="仿宋_GB2312" w:hAnsi="宋体" w:eastAsia="仿宋_GB2312" w:cs="仿宋_GB2312"/>
          <w:b w:val="0"/>
          <w:bCs w:val="0"/>
          <w:i w:val="0"/>
          <w:iCs w:val="0"/>
          <w:caps w:val="0"/>
          <w:color w:val="333333"/>
          <w:spacing w:val="0"/>
          <w:sz w:val="32"/>
          <w:szCs w:val="32"/>
          <w:shd w:val="clear" w:fill="FFFFFF"/>
        </w:rPr>
        <w:t>政府信息公开信息处理费管理办法</w:t>
      </w:r>
      <w:r>
        <w:rPr>
          <w:rFonts w:hint="default" w:ascii="Times New Roman" w:hAnsi="Times New Roman" w:eastAsia="仿宋_GB2312" w:cs="Times New Roman"/>
          <w:b w:val="0"/>
          <w:bCs w:val="0"/>
          <w:i w:val="0"/>
          <w:iCs w:val="0"/>
          <w:caps w:val="0"/>
          <w:color w:val="333333"/>
          <w:spacing w:val="0"/>
          <w:sz w:val="32"/>
          <w:szCs w:val="32"/>
          <w:shd w:val="clear" w:fill="FFFFFF"/>
        </w:rPr>
        <w:t>&gt;</w:t>
      </w:r>
      <w:r>
        <w:rPr>
          <w:rFonts w:hint="eastAsia" w:ascii="仿宋_GB2312" w:hAnsi="宋体" w:eastAsia="仿宋_GB2312" w:cs="仿宋_GB2312"/>
          <w:b w:val="0"/>
          <w:bCs w:val="0"/>
          <w:i w:val="0"/>
          <w:iCs w:val="0"/>
          <w:caps w:val="0"/>
          <w:color w:val="333333"/>
          <w:spacing w:val="0"/>
          <w:sz w:val="32"/>
          <w:szCs w:val="32"/>
          <w:shd w:val="clear" w:fill="FFFFFF"/>
        </w:rPr>
        <w:t>的通知》国办函</w:t>
      </w:r>
      <w:r>
        <w:rPr>
          <w:rFonts w:hint="default" w:ascii="Times New Roman" w:hAnsi="Times New Roman" w:eastAsia="仿宋_GB2312" w:cs="Times New Roman"/>
          <w:b w:val="0"/>
          <w:bCs w:val="0"/>
          <w:i w:val="0"/>
          <w:iCs w:val="0"/>
          <w:caps w:val="0"/>
          <w:color w:val="333333"/>
          <w:spacing w:val="0"/>
          <w:sz w:val="32"/>
          <w:szCs w:val="32"/>
          <w:shd w:val="clear" w:fill="FFFFFF"/>
        </w:rPr>
        <w:t>(2020)109</w:t>
      </w:r>
      <w:r>
        <w:rPr>
          <w:rFonts w:hint="eastAsia" w:ascii="仿宋_GB2312" w:hAnsi="宋体" w:eastAsia="仿宋_GB2312" w:cs="仿宋_GB2312"/>
          <w:b w:val="0"/>
          <w:bCs w:val="0"/>
          <w:i w:val="0"/>
          <w:iCs w:val="0"/>
          <w:caps w:val="0"/>
          <w:color w:val="333333"/>
          <w:spacing w:val="0"/>
          <w:sz w:val="32"/>
          <w:szCs w:val="32"/>
          <w:shd w:val="clear" w:fill="FFFFFF"/>
        </w:rPr>
        <w:t>号</w:t>
      </w:r>
      <w:r>
        <w:rPr>
          <w:rFonts w:hint="default" w:ascii="Times New Roman" w:hAnsi="Times New Roman" w:eastAsia="仿宋_GB2312" w:cs="Times New Roman"/>
          <w:b w:val="0"/>
          <w:bCs w:val="0"/>
          <w:i w:val="0"/>
          <w:iCs w:val="0"/>
          <w:caps w:val="0"/>
          <w:color w:val="333333"/>
          <w:spacing w:val="0"/>
          <w:sz w:val="32"/>
          <w:szCs w:val="32"/>
          <w:shd w:val="clear" w:fill="FFFFFF"/>
        </w:rPr>
        <w:t>)</w:t>
      </w:r>
      <w:r>
        <w:rPr>
          <w:rFonts w:hint="eastAsia" w:ascii="仿宋_GB2312" w:hAnsi="宋体" w:eastAsia="仿宋_GB2312" w:cs="仿宋_GB2312"/>
          <w:b w:val="0"/>
          <w:bCs w:val="0"/>
          <w:i w:val="0"/>
          <w:iCs w:val="0"/>
          <w:caps w:val="0"/>
          <w:color w:val="333333"/>
          <w:spacing w:val="0"/>
          <w:sz w:val="32"/>
          <w:szCs w:val="32"/>
          <w:shd w:val="clear" w:fill="FFFFFF"/>
        </w:rPr>
        <w:t>规定的按件、按量收费标准，本年度没有产生信息公开处理费。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宋体" w:eastAsia="仿宋_GB2312" w:cs="仿宋_GB2312"/>
          <w:b w:val="0"/>
          <w:bCs w:val="0"/>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right"/>
        <w:rPr>
          <w:rFonts w:ascii="微软雅黑" w:hAnsi="微软雅黑" w:eastAsia="微软雅黑" w:cs="微软雅黑"/>
          <w:i w:val="0"/>
          <w:iCs w:val="0"/>
          <w:caps w:val="0"/>
          <w:color w:val="333333"/>
          <w:spacing w:val="0"/>
          <w:sz w:val="26"/>
          <w:szCs w:val="26"/>
        </w:rPr>
      </w:pPr>
      <w:r>
        <w:rPr>
          <w:rFonts w:ascii="仿宋_GB2312" w:hAnsi="Times New Roman" w:eastAsia="仿宋_GB2312" w:cs="仿宋_GB2312"/>
          <w:b w:val="0"/>
          <w:bCs w:val="0"/>
          <w:i w:val="0"/>
          <w:iCs w:val="0"/>
          <w:caps w:val="0"/>
          <w:color w:val="333333"/>
          <w:spacing w:val="62"/>
          <w:kern w:val="0"/>
          <w:sz w:val="32"/>
          <w:szCs w:val="32"/>
          <w:bdr w:val="none" w:color="auto" w:sz="0" w:space="0"/>
          <w:shd w:val="clear" w:fill="FFFFFF"/>
          <w:lang w:val="en-US" w:eastAsia="zh-CN" w:bidi="ar"/>
        </w:rPr>
        <w:t>于都县林业局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righ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                                 202</w:t>
      </w:r>
      <w:r>
        <w:rPr>
          <w:rFonts w:hint="eastAsia"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月</w:t>
      </w:r>
      <w:r>
        <w:rPr>
          <w:rFonts w:hint="eastAsia"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21</w:t>
      </w:r>
      <w:bookmarkStart w:id="0" w:name="_GoBack"/>
      <w:bookmarkEnd w:id="0"/>
      <w:r>
        <w:rPr>
          <w:rFonts w:hint="eastAsia"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宋体" w:eastAsia="仿宋_GB2312" w:cs="仿宋_GB2312"/>
          <w:b w:val="0"/>
          <w:bCs w:val="0"/>
          <w:i w:val="0"/>
          <w:iCs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C7D32"/>
    <w:multiLevelType w:val="singleLevel"/>
    <w:tmpl w:val="1A7C7D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ZWZmNDRmN2U3ZWUyOTU1M2E5Y2M0ODc2ZTRmNGIifQ=="/>
  </w:docVars>
  <w:rsids>
    <w:rsidRoot w:val="2C33125B"/>
    <w:rsid w:val="05E426E9"/>
    <w:rsid w:val="15CA186C"/>
    <w:rsid w:val="1DD36C95"/>
    <w:rsid w:val="1DE85EFB"/>
    <w:rsid w:val="2C33125B"/>
    <w:rsid w:val="2DF445B5"/>
    <w:rsid w:val="33073C44"/>
    <w:rsid w:val="49282750"/>
    <w:rsid w:val="4DFD5ED6"/>
    <w:rsid w:val="7A3D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2021-01-22T02:54:00Z</dcterms:created>
  <dc:creator>Administrator</dc:creator>
  <cp:lastModifiedBy>山谷吹来的清风</cp:lastModifiedBy>
  <dcterms:modified xsi:type="dcterms:W3CDTF">2023-09-27T10:48:59Z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998D42A0DD1248A29380551045BD097E_12</vt:lpwstr>
  </property>
</Properties>
</file>