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0" w:firstLineChars="0"/>
        <w:jc w:val="left"/>
        <w:textAlignment w:val="baseline"/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val="en-US" w:eastAsia="zh-CN"/>
        </w:rPr>
        <w:t>附件2-1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0" w:firstLineChars="0"/>
        <w:jc w:val="left"/>
        <w:textAlignment w:val="baseline"/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spacing w:val="-2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8"/>
          <w:sz w:val="44"/>
          <w:szCs w:val="44"/>
        </w:rPr>
        <w:t>“四好农村路”建设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eastAsia="zh-CN"/>
        </w:rPr>
        <w:t>项目县以上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</w:rPr>
        <w:t>级资金补助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eastAsia="zh-CN"/>
        </w:rPr>
        <w:t>标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</w:rPr>
        <w:t>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spacing w:val="-1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leftChars="0" w:firstLine="628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3"/>
          <w:sz w:val="32"/>
          <w:szCs w:val="32"/>
        </w:rPr>
        <w:t>基础标准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对新增县道升三级及以上改造项目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省补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90万元/公里、市补6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万元/公里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,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对建制村双车道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路面宽度6米及以上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省补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35万元/公里、市补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万元/公</w:t>
      </w:r>
      <w:r>
        <w:rPr>
          <w:rFonts w:hint="eastAsia" w:ascii="仿宋_GB2312" w:hAnsi="仿宋_GB2312" w:eastAsia="仿宋_GB2312" w:cs="仿宋_GB2312"/>
          <w:sz w:val="32"/>
          <w:szCs w:val="32"/>
        </w:rPr>
        <w:t>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对生命安全防护工程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市补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leftChars="0" w:firstLine="628" w:firstLineChars="200"/>
        <w:jc w:val="both"/>
        <w:textAlignment w:val="baseline"/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3"/>
          <w:sz w:val="32"/>
          <w:szCs w:val="32"/>
        </w:rPr>
        <w:t>激励标准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right="0" w:firstLine="60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县道升三级及以上改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造项目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省级奖励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70万元/公里、市级奖励15万元/公里，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建制村双车道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路面宽度6米及以上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25万元/公里、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、县级奖励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20万元/公里（指当年开工并完工，2023年开工项目完工时间可延迟至2024年6月）。</w:t>
      </w:r>
    </w:p>
    <w:p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11D59"/>
    <w:multiLevelType w:val="singleLevel"/>
    <w:tmpl w:val="2F811D5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mM2ZTEyZTc1MGM2NTJmYTNlNWM1ZDNhZTkxNmQifQ=="/>
  </w:docVars>
  <w:rsids>
    <w:rsidRoot w:val="02660C36"/>
    <w:rsid w:val="02660C36"/>
    <w:rsid w:val="2DA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2023-05-29T08:11:00Z</dcterms:created>
  <dc:creator>Administrator</dc:creator>
  <cp:lastModifiedBy>Administrator</cp:lastModifiedBy>
  <dcterms:modified xsi:type="dcterms:W3CDTF">2023-05-29T08:11:45Z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28FEAE1D4B8E4C1B973CC08EC1503A0B_11</vt:lpwstr>
  </property>
</Properties>
</file>