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rPr>
      </w:pPr>
      <w:r>
        <w:rPr>
          <w:rFonts w:hint="eastAsia" w:ascii="黑体" w:hAnsi="黑体" w:eastAsia="黑体"/>
          <w:sz w:val="44"/>
          <w:szCs w:val="36"/>
          <w:lang w:val="en-US" w:eastAsia="zh-CN"/>
        </w:rPr>
        <w:t>铁山垅镇</w:t>
      </w:r>
      <w:r>
        <w:rPr>
          <w:rFonts w:hint="eastAsia" w:ascii="黑体" w:eastAsia="黑体"/>
          <w:sz w:val="44"/>
          <w:szCs w:val="36"/>
        </w:rPr>
        <w:t>2019年度部门决算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lang w:eastAsia="zh-CN"/>
        </w:rPr>
        <w:t>铁山垅镇</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2019年度部门决算表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2019年度部门决算情况说明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第四部分  名词解释</w:t>
      </w: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lang w:eastAsia="zh-CN"/>
        </w:rPr>
        <w:t>铁山垅镇</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一、主要职能</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一）宣传贯彻党的路线、方针、政策，执行党中央、上级党组织的决定，领导本镇工作，对本镇重大工作、重点问题进行决策，认真抓好党的思想、组织和作风建设，支持和保证行政组织、经济组织、群众组织充分行使职权，充分发挥基层党支部战斗堡垒作用和共产党的先锋模范作用。</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（二）监督本乡国家公务员和机关工作人员依法行政，秉公办事，领导和组织实施本镇的“两个文明”建设。</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（三）执行本级人民代表大会的决议和上级国家行政机关的决定与命令，发布决定。</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（四）管理行政区域内的经济、教育、科学、文化、卫生、体育事业和财政、民政优抚、社会治安综合治理、计划生育、乡村建设等行政事务工作。</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（五）建立健全农业科技体系，为农民和经济组织服务，调整产业结构，发展特色产业。</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（六）加快全乡公益事业的发展，组织救灾抢险重大工作。</w:t>
      </w:r>
    </w:p>
    <w:p>
      <w:pPr>
        <w:ind w:firstLine="630"/>
        <w:jc w:val="left"/>
        <w:rPr>
          <w:rFonts w:hint="eastAsia" w:ascii="仿宋_GB2312" w:eastAsia="仿宋_GB2312"/>
          <w:color w:val="000000"/>
          <w:sz w:val="32"/>
          <w:szCs w:val="30"/>
        </w:rPr>
      </w:pPr>
      <w:r>
        <w:rPr>
          <w:rFonts w:hint="eastAsia" w:ascii="仿宋_GB2312" w:eastAsia="仿宋_GB2312"/>
          <w:color w:val="000000"/>
          <w:sz w:val="32"/>
          <w:szCs w:val="30"/>
        </w:rPr>
        <w:t>（七）承办县委、县政府交办的其他工作。</w:t>
      </w:r>
    </w:p>
    <w:p>
      <w:pPr>
        <w:ind w:firstLine="630"/>
        <w:jc w:val="left"/>
        <w:rPr>
          <w:rFonts w:hint="eastAsia" w:ascii="黑体" w:hAnsi="黑体" w:eastAsia="黑体"/>
          <w:sz w:val="30"/>
          <w:szCs w:val="30"/>
        </w:rPr>
      </w:pPr>
      <w:r>
        <w:rPr>
          <w:rFonts w:hint="eastAsia" w:ascii="黑体" w:hAnsi="黑体" w:eastAsia="黑体"/>
          <w:sz w:val="30"/>
          <w:szCs w:val="30"/>
        </w:rPr>
        <w:t>二、基本情况</w:t>
      </w:r>
    </w:p>
    <w:p>
      <w:pPr>
        <w:ind w:firstLine="630"/>
        <w:jc w:val="left"/>
        <w:rPr>
          <w:rFonts w:hint="eastAsia" w:ascii="仿宋" w:hAnsi="仿宋" w:eastAsia="仿宋"/>
          <w:sz w:val="30"/>
          <w:szCs w:val="30"/>
        </w:rPr>
      </w:pPr>
      <w:r>
        <w:rPr>
          <w:rFonts w:hint="eastAsia" w:ascii="仿宋" w:hAnsi="仿宋" w:eastAsia="仿宋"/>
          <w:sz w:val="30"/>
          <w:szCs w:val="30"/>
          <w:lang w:val="en-US" w:eastAsia="zh-CN"/>
        </w:rPr>
        <w:t>纳入本套部门决算汇编范围的单位共5</w:t>
      </w:r>
      <w:bookmarkStart w:id="0" w:name="_GoBack"/>
      <w:bookmarkEnd w:id="0"/>
      <w:r>
        <w:rPr>
          <w:rFonts w:hint="eastAsia" w:ascii="仿宋" w:hAnsi="仿宋" w:eastAsia="仿宋"/>
          <w:sz w:val="30"/>
          <w:szCs w:val="30"/>
          <w:lang w:val="en-US" w:eastAsia="zh-CN"/>
        </w:rPr>
        <w:t>个，包括：镇政府机关、计生办、综合文化站、民政所、社会保障所。</w:t>
      </w:r>
    </w:p>
    <w:p>
      <w:pPr>
        <w:ind w:firstLine="630"/>
        <w:jc w:val="left"/>
        <w:rPr>
          <w:rFonts w:hint="eastAsia" w:ascii="仿宋" w:hAnsi="仿宋" w:eastAsia="仿宋"/>
          <w:sz w:val="30"/>
          <w:szCs w:val="30"/>
        </w:rPr>
      </w:pPr>
      <w:r>
        <w:rPr>
          <w:rFonts w:hint="eastAsia" w:ascii="仿宋" w:hAnsi="仿宋" w:eastAsia="仿宋"/>
          <w:sz w:val="30"/>
          <w:szCs w:val="30"/>
        </w:rPr>
        <w:t>本部门2019年年末实有人数</w:t>
      </w:r>
      <w:r>
        <w:rPr>
          <w:rFonts w:hint="eastAsia" w:ascii="仿宋" w:hAnsi="仿宋" w:eastAsia="仿宋"/>
          <w:sz w:val="30"/>
          <w:szCs w:val="30"/>
          <w:lang w:val="en-US" w:eastAsia="zh-CN"/>
        </w:rPr>
        <w:t>37</w:t>
      </w:r>
      <w:r>
        <w:rPr>
          <w:rFonts w:hint="eastAsia" w:ascii="仿宋" w:hAnsi="仿宋" w:eastAsia="仿宋"/>
          <w:sz w:val="30"/>
          <w:szCs w:val="30"/>
        </w:rPr>
        <w:t>人，其中在职人员</w:t>
      </w:r>
      <w:r>
        <w:rPr>
          <w:rFonts w:hint="eastAsia" w:ascii="仿宋" w:hAnsi="仿宋" w:eastAsia="仿宋"/>
          <w:sz w:val="30"/>
          <w:szCs w:val="30"/>
          <w:lang w:val="en-US" w:eastAsia="zh-CN"/>
        </w:rPr>
        <w:t>26</w:t>
      </w:r>
      <w:r>
        <w:rPr>
          <w:rFonts w:hint="eastAsia" w:ascii="仿宋" w:hAnsi="仿宋" w:eastAsia="仿宋"/>
          <w:sz w:val="30"/>
          <w:szCs w:val="30"/>
        </w:rPr>
        <w:t>人，离休人员</w:t>
      </w:r>
      <w:r>
        <w:rPr>
          <w:rFonts w:hint="eastAsia" w:ascii="仿宋" w:hAnsi="仿宋" w:eastAsia="仿宋"/>
          <w:sz w:val="30"/>
          <w:szCs w:val="30"/>
          <w:lang w:val="en-US" w:eastAsia="zh-CN"/>
        </w:rPr>
        <w:t>0</w:t>
      </w:r>
      <w:r>
        <w:rPr>
          <w:rFonts w:hint="eastAsia" w:ascii="仿宋" w:hAnsi="仿宋" w:eastAsia="仿宋"/>
          <w:sz w:val="30"/>
          <w:szCs w:val="30"/>
        </w:rPr>
        <w:t>人，退休人员</w:t>
      </w:r>
      <w:r>
        <w:rPr>
          <w:rFonts w:hint="eastAsia" w:ascii="仿宋" w:hAnsi="仿宋" w:eastAsia="仿宋"/>
          <w:sz w:val="30"/>
          <w:szCs w:val="30"/>
          <w:lang w:val="en-US" w:eastAsia="zh-CN"/>
        </w:rPr>
        <w:t>11</w:t>
      </w:r>
      <w:r>
        <w:rPr>
          <w:rFonts w:hint="eastAsia" w:ascii="仿宋" w:hAnsi="仿宋" w:eastAsia="仿宋"/>
          <w:sz w:val="30"/>
          <w:szCs w:val="30"/>
        </w:rPr>
        <w:t>人；年末其他人员</w:t>
      </w:r>
      <w:r>
        <w:rPr>
          <w:rFonts w:hint="eastAsia" w:ascii="仿宋" w:hAnsi="仿宋" w:eastAsia="仿宋"/>
          <w:sz w:val="30"/>
          <w:szCs w:val="30"/>
          <w:lang w:val="en-US" w:eastAsia="zh-CN"/>
        </w:rPr>
        <w:t>0</w:t>
      </w:r>
      <w:r>
        <w:rPr>
          <w:rFonts w:hint="eastAsia" w:ascii="仿宋" w:hAnsi="仿宋" w:eastAsia="仿宋"/>
          <w:sz w:val="30"/>
          <w:szCs w:val="30"/>
        </w:rPr>
        <w:t>人；年末学生人数</w:t>
      </w:r>
      <w:r>
        <w:rPr>
          <w:rFonts w:hint="eastAsia" w:ascii="仿宋" w:hAnsi="仿宋" w:eastAsia="仿宋"/>
          <w:sz w:val="30"/>
          <w:szCs w:val="30"/>
          <w:lang w:val="en-US" w:eastAsia="zh-CN"/>
        </w:rPr>
        <w:t>0</w:t>
      </w:r>
      <w:r>
        <w:rPr>
          <w:rFonts w:hint="eastAsia" w:ascii="仿宋" w:hAnsi="仿宋" w:eastAsia="仿宋"/>
          <w:sz w:val="30"/>
          <w:szCs w:val="30"/>
        </w:rPr>
        <w:t>人。</w: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2019年度部门决算表</w:t>
      </w: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lang w:eastAsia="zh-CN"/>
        </w:rPr>
      </w:pPr>
      <w:r>
        <w:rPr>
          <w:rFonts w:hint="eastAsia" w:ascii="仿宋" w:hAnsi="仿宋" w:eastAsia="仿宋"/>
          <w:sz w:val="30"/>
          <w:szCs w:val="30"/>
          <w:lang w:eastAsia="zh-CN"/>
        </w:rPr>
        <w:drawing>
          <wp:inline distT="0" distB="0" distL="114300" distR="114300">
            <wp:extent cx="5039360" cy="5553710"/>
            <wp:effectExtent l="0" t="0" r="8890" b="8890"/>
            <wp:docPr id="1" name="图片 1" descr="1620450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0450906(1)"/>
                    <pic:cNvPicPr>
                      <a:picLocks noChangeAspect="1"/>
                    </pic:cNvPicPr>
                  </pic:nvPicPr>
                  <pic:blipFill>
                    <a:blip r:embed="rId4"/>
                    <a:stretch>
                      <a:fillRect/>
                    </a:stretch>
                  </pic:blipFill>
                  <pic:spPr>
                    <a:xfrm>
                      <a:off x="0" y="0"/>
                      <a:ext cx="5039360" cy="5553710"/>
                    </a:xfrm>
                    <a:prstGeom prst="rect">
                      <a:avLst/>
                    </a:prstGeom>
                  </pic:spPr>
                </pic:pic>
              </a:graphicData>
            </a:graphic>
          </wp:inline>
        </w:drawing>
      </w:r>
    </w:p>
    <w:p>
      <w:pPr>
        <w:ind w:firstLine="630"/>
        <w:jc w:val="left"/>
        <w:rPr>
          <w:rFonts w:hint="eastAsia" w:ascii="仿宋" w:hAnsi="仿宋" w:eastAsia="仿宋"/>
          <w:sz w:val="30"/>
          <w:szCs w:val="30"/>
          <w:lang w:eastAsia="zh-CN"/>
        </w:rPr>
      </w:pPr>
    </w:p>
    <w:p>
      <w:pPr>
        <w:ind w:firstLine="630"/>
        <w:jc w:val="left"/>
        <w:rPr>
          <w:rFonts w:hint="eastAsia" w:ascii="仿宋" w:hAnsi="仿宋" w:eastAsia="仿宋"/>
          <w:sz w:val="30"/>
          <w:szCs w:val="30"/>
          <w:lang w:eastAsia="zh-CN"/>
        </w:rPr>
      </w:pPr>
      <w:r>
        <w:rPr>
          <w:rFonts w:hint="eastAsia" w:ascii="仿宋" w:hAnsi="仿宋" w:eastAsia="仿宋"/>
          <w:sz w:val="30"/>
          <w:szCs w:val="30"/>
          <w:lang w:eastAsia="zh-CN"/>
        </w:rPr>
        <w:drawing>
          <wp:inline distT="0" distB="0" distL="114300" distR="114300">
            <wp:extent cx="5269865" cy="3693795"/>
            <wp:effectExtent l="0" t="0" r="6985" b="1905"/>
            <wp:docPr id="2" name="图片 2" descr="1620450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0450987(1)"/>
                    <pic:cNvPicPr>
                      <a:picLocks noChangeAspect="1"/>
                    </pic:cNvPicPr>
                  </pic:nvPicPr>
                  <pic:blipFill>
                    <a:blip r:embed="rId5"/>
                    <a:stretch>
                      <a:fillRect/>
                    </a:stretch>
                  </pic:blipFill>
                  <pic:spPr>
                    <a:xfrm>
                      <a:off x="0" y="0"/>
                      <a:ext cx="5269865" cy="3693795"/>
                    </a:xfrm>
                    <a:prstGeom prst="rect">
                      <a:avLst/>
                    </a:prstGeom>
                  </pic:spPr>
                </pic:pic>
              </a:graphicData>
            </a:graphic>
          </wp:inline>
        </w:drawing>
      </w:r>
    </w:p>
    <w:p>
      <w:pPr>
        <w:ind w:firstLine="630"/>
        <w:jc w:val="left"/>
        <w:rPr>
          <w:rFonts w:hint="eastAsia" w:ascii="仿宋" w:hAnsi="仿宋" w:eastAsia="仿宋"/>
          <w:sz w:val="30"/>
          <w:szCs w:val="30"/>
          <w:lang w:eastAsia="zh-CN"/>
        </w:rPr>
      </w:pPr>
    </w:p>
    <w:p>
      <w:pPr>
        <w:ind w:firstLine="630"/>
        <w:jc w:val="left"/>
        <w:rPr>
          <w:rFonts w:hint="eastAsia" w:ascii="仿宋" w:hAnsi="仿宋" w:eastAsia="仿宋"/>
          <w:sz w:val="30"/>
          <w:szCs w:val="30"/>
          <w:lang w:eastAsia="zh-CN"/>
        </w:rPr>
        <w:sectPr>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sz w:val="30"/>
          <w:szCs w:val="30"/>
          <w:lang w:eastAsia="zh-CN"/>
        </w:rPr>
        <w:drawing>
          <wp:inline distT="0" distB="0" distL="114300" distR="114300">
            <wp:extent cx="5273040" cy="4054475"/>
            <wp:effectExtent l="0" t="0" r="3810" b="3175"/>
            <wp:docPr id="3" name="图片 3" descr="1620451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0451028(1)"/>
                    <pic:cNvPicPr>
                      <a:picLocks noChangeAspect="1"/>
                    </pic:cNvPicPr>
                  </pic:nvPicPr>
                  <pic:blipFill>
                    <a:blip r:embed="rId6"/>
                    <a:stretch>
                      <a:fillRect/>
                    </a:stretch>
                  </pic:blipFill>
                  <pic:spPr>
                    <a:xfrm>
                      <a:off x="0" y="0"/>
                      <a:ext cx="5273040" cy="405447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2147483648" w:beforeAutospacing="0" w:after="150" w:afterLines="-2147483648" w:afterAutospacing="0"/>
        <w:ind w:right="0"/>
        <w:rPr>
          <w:rFonts w:hint="eastAsia" w:ascii="仿宋" w:hAnsi="仿宋" w:eastAsia="仿宋" w:cs="仿宋"/>
          <w:i w:val="0"/>
          <w:iCs w:val="0"/>
          <w:caps w:val="0"/>
          <w:color w:val="333333"/>
          <w:spacing w:val="0"/>
          <w:sz w:val="30"/>
          <w:szCs w:val="30"/>
          <w:shd w:val="clear" w:fill="FFFFFF"/>
          <w:lang w:eastAsia="zh-CN"/>
        </w:rPr>
      </w:pPr>
      <w:r>
        <w:rPr>
          <w:rFonts w:hint="eastAsia" w:ascii="仿宋" w:hAnsi="仿宋" w:eastAsia="仿宋" w:cs="仿宋"/>
          <w:i w:val="0"/>
          <w:iCs w:val="0"/>
          <w:caps w:val="0"/>
          <w:color w:val="333333"/>
          <w:spacing w:val="0"/>
          <w:sz w:val="30"/>
          <w:szCs w:val="30"/>
          <w:shd w:val="clear" w:fill="FFFFFF"/>
          <w:lang w:eastAsia="zh-CN"/>
        </w:rPr>
        <w:drawing>
          <wp:inline distT="0" distB="0" distL="114300" distR="114300">
            <wp:extent cx="5266055" cy="5130800"/>
            <wp:effectExtent l="0" t="0" r="10795" b="12700"/>
            <wp:docPr id="10" name="图片 10" descr="1620455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20455048(1)"/>
                    <pic:cNvPicPr>
                      <a:picLocks noChangeAspect="1"/>
                    </pic:cNvPicPr>
                  </pic:nvPicPr>
                  <pic:blipFill>
                    <a:blip r:embed="rId7"/>
                    <a:stretch>
                      <a:fillRect/>
                    </a:stretch>
                  </pic:blipFill>
                  <pic:spPr>
                    <a:xfrm>
                      <a:off x="0" y="0"/>
                      <a:ext cx="5266055" cy="513080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2147483648" w:beforeAutospacing="0" w:after="150" w:afterLines="-2147483648" w:afterAutospacing="0"/>
        <w:ind w:right="0"/>
        <w:rPr>
          <w:rFonts w:hint="eastAsia" w:ascii="仿宋" w:hAnsi="仿宋" w:eastAsia="仿宋" w:cs="仿宋"/>
          <w:i w:val="0"/>
          <w:iCs w:val="0"/>
          <w:caps w:val="0"/>
          <w:color w:val="333333"/>
          <w:spacing w:val="0"/>
          <w:sz w:val="30"/>
          <w:szCs w:val="30"/>
          <w:shd w:val="clear" w:fill="FFFFFF"/>
          <w:lang w:eastAsia="zh-CN"/>
        </w:rPr>
      </w:pPr>
      <w:r>
        <w:rPr>
          <w:rFonts w:hint="eastAsia" w:ascii="仿宋" w:hAnsi="仿宋" w:eastAsia="仿宋" w:cs="仿宋"/>
          <w:i w:val="0"/>
          <w:iCs w:val="0"/>
          <w:caps w:val="0"/>
          <w:color w:val="333333"/>
          <w:spacing w:val="0"/>
          <w:sz w:val="30"/>
          <w:szCs w:val="30"/>
          <w:shd w:val="clear" w:fill="FFFFFF"/>
          <w:lang w:eastAsia="zh-CN"/>
        </w:rPr>
        <w:drawing>
          <wp:inline distT="0" distB="0" distL="114300" distR="114300">
            <wp:extent cx="5274310" cy="3225800"/>
            <wp:effectExtent l="0" t="0" r="2540" b="12700"/>
            <wp:docPr id="5" name="图片 5" descr="1620451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20451557(1)"/>
                    <pic:cNvPicPr>
                      <a:picLocks noChangeAspect="1"/>
                    </pic:cNvPicPr>
                  </pic:nvPicPr>
                  <pic:blipFill>
                    <a:blip r:embed="rId8"/>
                    <a:stretch>
                      <a:fillRect/>
                    </a:stretch>
                  </pic:blipFill>
                  <pic:spPr>
                    <a:xfrm>
                      <a:off x="0" y="0"/>
                      <a:ext cx="5274310" cy="322580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2147483648" w:beforeAutospacing="0" w:after="150" w:afterLines="-2147483648" w:afterAutospacing="0"/>
        <w:ind w:right="0"/>
        <w:jc w:val="both"/>
        <w:rPr>
          <w:rFonts w:hint="eastAsia" w:ascii="仿宋" w:hAnsi="仿宋" w:eastAsia="仿宋" w:cs="仿宋"/>
          <w:i w:val="0"/>
          <w:iCs w:val="0"/>
          <w:caps w:val="0"/>
          <w:color w:val="333333"/>
          <w:spacing w:val="0"/>
          <w:sz w:val="30"/>
          <w:szCs w:val="30"/>
          <w:shd w:val="clear" w:fill="FFFFFF"/>
          <w:lang w:eastAsia="zh-CN"/>
        </w:rPr>
      </w:pPr>
      <w:r>
        <w:rPr>
          <w:rFonts w:hint="eastAsia" w:ascii="仿宋" w:hAnsi="仿宋" w:eastAsia="仿宋" w:cs="仿宋"/>
          <w:i w:val="0"/>
          <w:iCs w:val="0"/>
          <w:caps w:val="0"/>
          <w:color w:val="333333"/>
          <w:spacing w:val="0"/>
          <w:sz w:val="30"/>
          <w:szCs w:val="30"/>
          <w:shd w:val="clear" w:fill="FFFFFF"/>
          <w:lang w:eastAsia="zh-CN"/>
        </w:rPr>
        <w:drawing>
          <wp:inline distT="0" distB="0" distL="114300" distR="114300">
            <wp:extent cx="5801995" cy="8847455"/>
            <wp:effectExtent l="0" t="0" r="8255" b="10795"/>
            <wp:docPr id="6" name="图片 6" descr="1620451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20451890(1)"/>
                    <pic:cNvPicPr>
                      <a:picLocks noChangeAspect="1"/>
                    </pic:cNvPicPr>
                  </pic:nvPicPr>
                  <pic:blipFill>
                    <a:blip r:embed="rId9"/>
                    <a:stretch>
                      <a:fillRect/>
                    </a:stretch>
                  </pic:blipFill>
                  <pic:spPr>
                    <a:xfrm>
                      <a:off x="0" y="0"/>
                      <a:ext cx="5801995" cy="8847455"/>
                    </a:xfrm>
                    <a:prstGeom prst="rect">
                      <a:avLst/>
                    </a:prstGeom>
                  </pic:spPr>
                </pic:pic>
              </a:graphicData>
            </a:graphic>
          </wp:inline>
        </w:drawing>
      </w:r>
    </w:p>
    <w:p>
      <w:pPr>
        <w:rPr>
          <w:rFonts w:hint="eastAsia" w:eastAsia="宋体"/>
          <w:lang w:eastAsia="zh-CN"/>
        </w:rPr>
      </w:pPr>
      <w:r>
        <w:rPr>
          <w:rFonts w:hint="eastAsia" w:eastAsia="宋体"/>
          <w:lang w:eastAsia="zh-CN"/>
        </w:rPr>
        <w:drawing>
          <wp:inline distT="0" distB="0" distL="114300" distR="114300">
            <wp:extent cx="5271135" cy="4827905"/>
            <wp:effectExtent l="0" t="0" r="5715" b="10795"/>
            <wp:docPr id="7" name="图片 7" descr="1620452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20452085(1)"/>
                    <pic:cNvPicPr>
                      <a:picLocks noChangeAspect="1"/>
                    </pic:cNvPicPr>
                  </pic:nvPicPr>
                  <pic:blipFill>
                    <a:blip r:embed="rId10"/>
                    <a:stretch>
                      <a:fillRect/>
                    </a:stretch>
                  </pic:blipFill>
                  <pic:spPr>
                    <a:xfrm>
                      <a:off x="0" y="0"/>
                      <a:ext cx="5271135" cy="4827905"/>
                    </a:xfrm>
                    <a:prstGeom prst="rect">
                      <a:avLst/>
                    </a:prstGeom>
                  </pic:spPr>
                </pic:pic>
              </a:graphicData>
            </a:graphic>
          </wp:inline>
        </w:drawing>
      </w:r>
    </w:p>
    <w:p>
      <w:pPr>
        <w:rPr>
          <w:rFonts w:hint="eastAsia" w:eastAsia="宋体"/>
          <w:lang w:eastAsia="zh-CN"/>
        </w:rPr>
      </w:pPr>
      <w:r>
        <w:rPr>
          <w:rFonts w:hint="eastAsia" w:eastAsia="宋体"/>
          <w:lang w:eastAsia="zh-CN"/>
        </w:rPr>
        <w:drawing>
          <wp:inline distT="0" distB="0" distL="114300" distR="114300">
            <wp:extent cx="5271135" cy="3796665"/>
            <wp:effectExtent l="0" t="0" r="5715" b="13335"/>
            <wp:docPr id="8" name="图片 8" descr="1620452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20452125(1)"/>
                    <pic:cNvPicPr>
                      <a:picLocks noChangeAspect="1"/>
                    </pic:cNvPicPr>
                  </pic:nvPicPr>
                  <pic:blipFill>
                    <a:blip r:embed="rId11"/>
                    <a:stretch>
                      <a:fillRect/>
                    </a:stretch>
                  </pic:blipFill>
                  <pic:spPr>
                    <a:xfrm>
                      <a:off x="0" y="0"/>
                      <a:ext cx="5271135" cy="3796665"/>
                    </a:xfrm>
                    <a:prstGeom prst="rect">
                      <a:avLst/>
                    </a:prstGeom>
                  </pic:spPr>
                </pic:pic>
              </a:graphicData>
            </a:graphic>
          </wp:inline>
        </w:drawing>
      </w:r>
    </w:p>
    <w:p>
      <w:pPr>
        <w:rPr>
          <w:rFonts w:hint="eastAsia" w:eastAsia="宋体"/>
          <w:lang w:eastAsia="zh-CN"/>
        </w:rPr>
      </w:pPr>
      <w:r>
        <w:rPr>
          <w:rFonts w:hint="eastAsia" w:eastAsia="宋体"/>
          <w:lang w:eastAsia="zh-CN"/>
        </w:rPr>
        <w:drawing>
          <wp:inline distT="0" distB="0" distL="114300" distR="114300">
            <wp:extent cx="5181600" cy="2981325"/>
            <wp:effectExtent l="0" t="0" r="0" b="9525"/>
            <wp:docPr id="9" name="图片 9" descr="1620452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20452172(1)"/>
                    <pic:cNvPicPr>
                      <a:picLocks noChangeAspect="1"/>
                    </pic:cNvPicPr>
                  </pic:nvPicPr>
                  <pic:blipFill>
                    <a:blip r:embed="rId12"/>
                    <a:stretch>
                      <a:fillRect/>
                    </a:stretch>
                  </pic:blipFill>
                  <pic:spPr>
                    <a:xfrm>
                      <a:off x="0" y="0"/>
                      <a:ext cx="5181600" cy="2981325"/>
                    </a:xfrm>
                    <a:prstGeom prst="rect">
                      <a:avLst/>
                    </a:prstGeom>
                  </pic:spPr>
                </pic:pic>
              </a:graphicData>
            </a:graphic>
          </wp:inline>
        </w:drawing>
      </w:r>
    </w:p>
    <w:p>
      <w:pPr>
        <w:rPr>
          <w:rFonts w:hint="eastAsia" w:eastAsia="宋体"/>
          <w:lang w:eastAsia="zh-CN"/>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2019年度部门决算情况说明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本部门2019年度收入总计</w:t>
      </w:r>
      <w:r>
        <w:rPr>
          <w:rFonts w:hint="eastAsia" w:ascii="仿宋" w:hAnsi="仿宋" w:eastAsia="仿宋"/>
          <w:sz w:val="30"/>
          <w:szCs w:val="30"/>
          <w:lang w:val="en-US" w:eastAsia="zh-CN"/>
        </w:rPr>
        <w:t>905.3</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0</w:t>
      </w:r>
      <w:r>
        <w:rPr>
          <w:rFonts w:hint="eastAsia" w:ascii="仿宋" w:hAnsi="仿宋" w:eastAsia="仿宋"/>
          <w:sz w:val="30"/>
          <w:szCs w:val="30"/>
        </w:rPr>
        <w:t>万元，较2018年增加</w:t>
      </w:r>
      <w:r>
        <w:rPr>
          <w:rFonts w:hint="eastAsia" w:ascii="仿宋" w:hAnsi="仿宋" w:eastAsia="仿宋"/>
          <w:sz w:val="30"/>
          <w:szCs w:val="30"/>
          <w:lang w:val="en-US" w:eastAsia="zh-CN"/>
        </w:rPr>
        <w:t>394.99</w:t>
      </w:r>
      <w:r>
        <w:rPr>
          <w:rFonts w:hint="eastAsia" w:ascii="仿宋" w:hAnsi="仿宋" w:eastAsia="仿宋"/>
          <w:sz w:val="30"/>
          <w:szCs w:val="30"/>
        </w:rPr>
        <w:t>万元，增长</w:t>
      </w:r>
      <w:r>
        <w:rPr>
          <w:rFonts w:hint="eastAsia" w:ascii="仿宋" w:hAnsi="仿宋" w:eastAsia="仿宋"/>
          <w:sz w:val="30"/>
          <w:szCs w:val="30"/>
          <w:lang w:val="en-US" w:eastAsia="zh-CN"/>
        </w:rPr>
        <w:t>77.4</w:t>
      </w:r>
      <w:r>
        <w:rPr>
          <w:rFonts w:hint="eastAsia" w:ascii="仿宋" w:hAnsi="仿宋" w:eastAsia="仿宋"/>
          <w:sz w:val="30"/>
          <w:szCs w:val="30"/>
        </w:rPr>
        <w:t>%；本年收入合计</w:t>
      </w:r>
      <w:r>
        <w:rPr>
          <w:rFonts w:hint="eastAsia" w:ascii="仿宋" w:hAnsi="仿宋" w:eastAsia="仿宋"/>
          <w:sz w:val="30"/>
          <w:szCs w:val="30"/>
          <w:lang w:val="en-US" w:eastAsia="zh-CN"/>
        </w:rPr>
        <w:t>905.3</w:t>
      </w:r>
      <w:r>
        <w:rPr>
          <w:rFonts w:hint="eastAsia" w:ascii="仿宋" w:hAnsi="仿宋" w:eastAsia="仿宋"/>
          <w:sz w:val="30"/>
          <w:szCs w:val="30"/>
        </w:rPr>
        <w:t>万元，较2018年增加</w:t>
      </w:r>
      <w:r>
        <w:rPr>
          <w:rFonts w:hint="eastAsia" w:ascii="仿宋" w:hAnsi="仿宋" w:eastAsia="仿宋"/>
          <w:sz w:val="30"/>
          <w:szCs w:val="30"/>
          <w:lang w:val="en-US" w:eastAsia="zh-CN"/>
        </w:rPr>
        <w:t>394.99</w:t>
      </w:r>
      <w:r>
        <w:rPr>
          <w:rFonts w:hint="eastAsia" w:ascii="仿宋" w:hAnsi="仿宋" w:eastAsia="仿宋"/>
          <w:sz w:val="30"/>
          <w:szCs w:val="30"/>
        </w:rPr>
        <w:t>万元，增长</w:t>
      </w:r>
      <w:r>
        <w:rPr>
          <w:rFonts w:hint="eastAsia" w:ascii="仿宋" w:hAnsi="仿宋" w:eastAsia="仿宋"/>
          <w:sz w:val="30"/>
          <w:szCs w:val="30"/>
          <w:lang w:val="en-US" w:eastAsia="zh-CN"/>
        </w:rPr>
        <w:t>77.4</w:t>
      </w:r>
      <w:r>
        <w:rPr>
          <w:rFonts w:hint="eastAsia" w:ascii="仿宋" w:hAnsi="仿宋" w:eastAsia="仿宋"/>
          <w:sz w:val="30"/>
          <w:szCs w:val="30"/>
        </w:rPr>
        <w:t>%，主要原因是：</w:t>
      </w:r>
      <w:r>
        <w:rPr>
          <w:rFonts w:hint="eastAsia" w:ascii="仿宋" w:hAnsi="仿宋" w:eastAsia="仿宋"/>
          <w:sz w:val="30"/>
          <w:szCs w:val="30"/>
          <w:lang w:eastAsia="zh-CN"/>
        </w:rPr>
        <w:t>脱贫攻坚增加预算</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905.3</w:t>
      </w:r>
      <w:r>
        <w:rPr>
          <w:rFonts w:hint="eastAsia" w:ascii="仿宋" w:hAnsi="仿宋" w:eastAsia="仿宋"/>
          <w:sz w:val="30"/>
          <w:szCs w:val="30"/>
        </w:rPr>
        <w:t>万元，占</w:t>
      </w:r>
      <w:r>
        <w:rPr>
          <w:rFonts w:hint="eastAsia" w:ascii="仿宋" w:hAnsi="仿宋" w:eastAsia="仿宋"/>
          <w:sz w:val="30"/>
          <w:szCs w:val="30"/>
          <w:lang w:val="en-US" w:eastAsia="zh-CN"/>
        </w:rPr>
        <w:t>100</w:t>
      </w:r>
      <w:r>
        <w:rPr>
          <w:rFonts w:hint="eastAsia" w:ascii="仿宋" w:hAnsi="仿宋" w:eastAsia="仿宋"/>
          <w:sz w:val="30"/>
          <w:szCs w:val="30"/>
        </w:rPr>
        <w:t>%；事业收入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%；经营收入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本部门2019年度支出总计</w:t>
      </w:r>
      <w:r>
        <w:rPr>
          <w:rFonts w:hint="eastAsia" w:ascii="仿宋" w:hAnsi="仿宋" w:eastAsia="仿宋"/>
          <w:sz w:val="30"/>
          <w:szCs w:val="30"/>
          <w:lang w:val="en-US" w:eastAsia="zh-CN"/>
        </w:rPr>
        <w:t>835.38</w:t>
      </w:r>
      <w:r>
        <w:rPr>
          <w:rFonts w:hint="eastAsia" w:ascii="仿宋" w:hAnsi="仿宋" w:eastAsia="仿宋"/>
          <w:sz w:val="30"/>
          <w:szCs w:val="30"/>
        </w:rPr>
        <w:t>万元，其中本年支出合计</w:t>
      </w:r>
      <w:r>
        <w:rPr>
          <w:rFonts w:hint="eastAsia" w:ascii="仿宋" w:hAnsi="仿宋" w:eastAsia="仿宋"/>
          <w:sz w:val="30"/>
          <w:szCs w:val="30"/>
          <w:lang w:val="en-US" w:eastAsia="zh-CN"/>
        </w:rPr>
        <w:t>835.38</w:t>
      </w:r>
      <w:r>
        <w:rPr>
          <w:rFonts w:hint="eastAsia" w:ascii="仿宋" w:hAnsi="仿宋" w:eastAsia="仿宋"/>
          <w:sz w:val="30"/>
          <w:szCs w:val="30"/>
        </w:rPr>
        <w:t>万元，较2018年增加</w:t>
      </w:r>
      <w:r>
        <w:rPr>
          <w:rFonts w:hint="eastAsia" w:ascii="仿宋" w:hAnsi="仿宋" w:eastAsia="仿宋"/>
          <w:sz w:val="30"/>
          <w:szCs w:val="30"/>
          <w:lang w:val="en-US" w:eastAsia="zh-CN"/>
        </w:rPr>
        <w:t>325.07</w:t>
      </w:r>
      <w:r>
        <w:rPr>
          <w:rFonts w:hint="eastAsia" w:ascii="仿宋" w:hAnsi="仿宋" w:eastAsia="仿宋"/>
          <w:sz w:val="30"/>
          <w:szCs w:val="30"/>
        </w:rPr>
        <w:t>万元，增长</w:t>
      </w:r>
      <w:r>
        <w:rPr>
          <w:rFonts w:hint="eastAsia" w:ascii="仿宋" w:hAnsi="仿宋" w:eastAsia="仿宋"/>
          <w:sz w:val="30"/>
          <w:szCs w:val="30"/>
          <w:lang w:val="en-US" w:eastAsia="zh-CN"/>
        </w:rPr>
        <w:t>63.7</w:t>
      </w:r>
      <w:r>
        <w:rPr>
          <w:rFonts w:hint="eastAsia" w:ascii="仿宋" w:hAnsi="仿宋" w:eastAsia="仿宋"/>
          <w:sz w:val="30"/>
          <w:szCs w:val="30"/>
        </w:rPr>
        <w:t>%，主要原因是：</w:t>
      </w:r>
      <w:r>
        <w:rPr>
          <w:rFonts w:hint="eastAsia" w:ascii="仿宋" w:hAnsi="仿宋" w:eastAsia="仿宋"/>
          <w:sz w:val="30"/>
          <w:szCs w:val="30"/>
          <w:lang w:eastAsia="zh-CN"/>
        </w:rPr>
        <w:t>脱贫攻坚支出增长</w:t>
      </w:r>
      <w:r>
        <w:rPr>
          <w:rFonts w:hint="eastAsia" w:ascii="仿宋" w:hAnsi="仿宋" w:eastAsia="仿宋"/>
          <w:sz w:val="30"/>
          <w:szCs w:val="30"/>
        </w:rPr>
        <w:t>；年末结转和结余</w:t>
      </w:r>
      <w:r>
        <w:rPr>
          <w:rFonts w:hint="eastAsia" w:ascii="仿宋" w:hAnsi="仿宋" w:eastAsia="仿宋"/>
          <w:sz w:val="30"/>
          <w:szCs w:val="30"/>
          <w:lang w:val="en-US" w:eastAsia="zh-CN"/>
        </w:rPr>
        <w:t>69.92</w:t>
      </w:r>
      <w:r>
        <w:rPr>
          <w:rFonts w:hint="eastAsia" w:ascii="仿宋" w:hAnsi="仿宋" w:eastAsia="仿宋"/>
          <w:sz w:val="30"/>
          <w:szCs w:val="30"/>
        </w:rPr>
        <w:t>万元，较2018年增加</w:t>
      </w:r>
      <w:r>
        <w:rPr>
          <w:rFonts w:hint="eastAsia" w:ascii="仿宋" w:hAnsi="仿宋" w:eastAsia="仿宋"/>
          <w:sz w:val="30"/>
          <w:szCs w:val="30"/>
          <w:lang w:val="en-US" w:eastAsia="zh-CN"/>
        </w:rPr>
        <w:t>69.92</w:t>
      </w:r>
      <w:r>
        <w:rPr>
          <w:rFonts w:hint="eastAsia" w:ascii="仿宋" w:hAnsi="仿宋" w:eastAsia="仿宋"/>
          <w:sz w:val="30"/>
          <w:szCs w:val="30"/>
        </w:rPr>
        <w:t>万元，增长</w:t>
      </w:r>
      <w:r>
        <w:rPr>
          <w:rFonts w:hint="eastAsia" w:ascii="仿宋" w:hAnsi="仿宋" w:eastAsia="仿宋"/>
          <w:sz w:val="30"/>
          <w:szCs w:val="30"/>
          <w:lang w:val="en-US" w:eastAsia="zh-CN"/>
        </w:rPr>
        <w:t>100</w:t>
      </w:r>
      <w:r>
        <w:rPr>
          <w:rFonts w:hint="eastAsia" w:ascii="仿宋" w:hAnsi="仿宋" w:eastAsia="仿宋"/>
          <w:sz w:val="30"/>
          <w:szCs w:val="30"/>
        </w:rPr>
        <w:t>%，主要原因是：</w:t>
      </w:r>
      <w:r>
        <w:rPr>
          <w:rFonts w:hint="eastAsia" w:ascii="仿宋" w:hAnsi="仿宋" w:eastAsia="仿宋"/>
          <w:sz w:val="30"/>
          <w:szCs w:val="30"/>
          <w:lang w:eastAsia="zh-CN"/>
        </w:rPr>
        <w:t>脱贫攻坚项目调整，部分支出报账延滞导致</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835.38</w:t>
      </w:r>
      <w:r>
        <w:rPr>
          <w:rFonts w:hint="eastAsia" w:ascii="仿宋" w:hAnsi="仿宋" w:eastAsia="仿宋"/>
          <w:sz w:val="30"/>
          <w:szCs w:val="30"/>
        </w:rPr>
        <w:t>元，占</w:t>
      </w:r>
      <w:r>
        <w:rPr>
          <w:rFonts w:hint="eastAsia" w:ascii="仿宋" w:hAnsi="仿宋" w:eastAsia="仿宋"/>
          <w:sz w:val="30"/>
          <w:szCs w:val="30"/>
          <w:lang w:val="en-US" w:eastAsia="zh-CN"/>
        </w:rPr>
        <w:t>100</w:t>
      </w:r>
      <w:r>
        <w:rPr>
          <w:rFonts w:hint="eastAsia" w:ascii="仿宋" w:hAnsi="仿宋" w:eastAsia="仿宋"/>
          <w:sz w:val="30"/>
          <w:szCs w:val="30"/>
        </w:rPr>
        <w:t>%；项目支出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%；经营支出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%；其他支出（对附属单位补助支出、上缴上级支出）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本部门2019年度财政拨款本年支出年初预算数为</w:t>
      </w:r>
      <w:r>
        <w:rPr>
          <w:rFonts w:hint="eastAsia" w:ascii="仿宋" w:hAnsi="仿宋" w:eastAsia="仿宋"/>
          <w:sz w:val="30"/>
          <w:szCs w:val="30"/>
          <w:lang w:val="en-US" w:eastAsia="zh-CN"/>
        </w:rPr>
        <w:t>835.38</w:t>
      </w:r>
      <w:r>
        <w:rPr>
          <w:rFonts w:hint="eastAsia" w:ascii="仿宋" w:hAnsi="仿宋" w:eastAsia="仿宋"/>
          <w:sz w:val="30"/>
          <w:szCs w:val="30"/>
        </w:rPr>
        <w:t>万元，决算数为</w:t>
      </w:r>
      <w:r>
        <w:rPr>
          <w:rFonts w:hint="eastAsia" w:ascii="仿宋" w:hAnsi="仿宋" w:eastAsia="仿宋"/>
          <w:sz w:val="30"/>
          <w:szCs w:val="30"/>
          <w:lang w:val="en-US" w:eastAsia="zh-CN"/>
        </w:rPr>
        <w:t>835.38</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%。其中：</w:t>
      </w:r>
    </w:p>
    <w:p>
      <w:pPr>
        <w:ind w:firstLine="630"/>
        <w:jc w:val="left"/>
        <w:rPr>
          <w:rFonts w:hint="eastAsia" w:ascii="仿宋" w:hAnsi="仿宋" w:eastAsia="仿宋"/>
          <w:sz w:val="30"/>
          <w:szCs w:val="30"/>
        </w:rPr>
      </w:pPr>
      <w:r>
        <w:rPr>
          <w:rFonts w:hint="eastAsia" w:ascii="仿宋" w:hAnsi="仿宋" w:eastAsia="仿宋"/>
          <w:sz w:val="30"/>
          <w:szCs w:val="30"/>
        </w:rPr>
        <w:t>（一）一般公共服务支出年初预算数为</w:t>
      </w:r>
      <w:r>
        <w:rPr>
          <w:rFonts w:hint="eastAsia" w:ascii="仿宋" w:hAnsi="仿宋" w:eastAsia="仿宋"/>
          <w:sz w:val="30"/>
          <w:szCs w:val="30"/>
          <w:lang w:val="en-US" w:eastAsia="zh-CN"/>
        </w:rPr>
        <w:t>531.25</w:t>
      </w:r>
      <w:r>
        <w:rPr>
          <w:rFonts w:hint="eastAsia" w:ascii="仿宋" w:hAnsi="仿宋" w:eastAsia="仿宋"/>
          <w:sz w:val="30"/>
          <w:szCs w:val="30"/>
        </w:rPr>
        <w:t>万元，决算数为</w:t>
      </w:r>
      <w:r>
        <w:rPr>
          <w:rFonts w:hint="eastAsia" w:ascii="仿宋" w:hAnsi="仿宋" w:eastAsia="仿宋"/>
          <w:sz w:val="30"/>
          <w:szCs w:val="30"/>
          <w:lang w:val="en-US" w:eastAsia="zh-CN"/>
        </w:rPr>
        <w:t>531.25</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 xml:space="preserve"> %，主要原因是：</w:t>
      </w:r>
      <w:r>
        <w:rPr>
          <w:rFonts w:hint="eastAsia" w:ascii="仿宋" w:hAnsi="仿宋" w:eastAsia="仿宋"/>
          <w:sz w:val="30"/>
          <w:szCs w:val="30"/>
          <w:lang w:eastAsia="zh-CN"/>
        </w:rPr>
        <w:t>单位正常运转支出</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（二）文化旅游体育与传媒支出年初预算数为</w:t>
      </w:r>
      <w:r>
        <w:rPr>
          <w:rFonts w:hint="eastAsia" w:ascii="仿宋" w:hAnsi="仿宋" w:eastAsia="仿宋"/>
          <w:sz w:val="30"/>
          <w:szCs w:val="30"/>
          <w:lang w:val="en-US" w:eastAsia="zh-CN"/>
        </w:rPr>
        <w:t>27.56</w:t>
      </w:r>
      <w:r>
        <w:rPr>
          <w:rFonts w:hint="eastAsia" w:ascii="仿宋" w:hAnsi="仿宋" w:eastAsia="仿宋"/>
          <w:sz w:val="30"/>
          <w:szCs w:val="30"/>
        </w:rPr>
        <w:t>万元，决算数为</w:t>
      </w:r>
      <w:r>
        <w:rPr>
          <w:rFonts w:hint="eastAsia" w:ascii="仿宋" w:hAnsi="仿宋" w:eastAsia="仿宋"/>
          <w:sz w:val="30"/>
          <w:szCs w:val="30"/>
          <w:lang w:val="en-US" w:eastAsia="zh-CN"/>
        </w:rPr>
        <w:t>27.56</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%，主要原因是：</w:t>
      </w:r>
      <w:r>
        <w:rPr>
          <w:rFonts w:hint="eastAsia" w:ascii="仿宋" w:hAnsi="仿宋" w:eastAsia="仿宋"/>
          <w:sz w:val="30"/>
          <w:szCs w:val="30"/>
          <w:lang w:eastAsia="zh-CN"/>
        </w:rPr>
        <w:t>单位正常运转支出</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三</w:t>
      </w:r>
      <w:r>
        <w:rPr>
          <w:rFonts w:hint="eastAsia" w:ascii="仿宋" w:hAnsi="仿宋" w:eastAsia="仿宋"/>
          <w:sz w:val="30"/>
          <w:szCs w:val="30"/>
        </w:rPr>
        <w:t>）社会保障和就业支出年初预算数为</w:t>
      </w:r>
      <w:r>
        <w:rPr>
          <w:rFonts w:hint="eastAsia" w:ascii="仿宋" w:hAnsi="仿宋" w:eastAsia="仿宋"/>
          <w:sz w:val="30"/>
          <w:szCs w:val="30"/>
          <w:lang w:val="en-US" w:eastAsia="zh-CN"/>
        </w:rPr>
        <w:t>27.56</w:t>
      </w:r>
      <w:r>
        <w:rPr>
          <w:rFonts w:hint="eastAsia" w:ascii="仿宋" w:hAnsi="仿宋" w:eastAsia="仿宋"/>
          <w:sz w:val="30"/>
          <w:szCs w:val="30"/>
        </w:rPr>
        <w:t>万元，决算数为</w:t>
      </w:r>
      <w:r>
        <w:rPr>
          <w:rFonts w:hint="eastAsia" w:ascii="仿宋" w:hAnsi="仿宋" w:eastAsia="仿宋"/>
          <w:sz w:val="30"/>
          <w:szCs w:val="30"/>
          <w:lang w:val="en-US" w:eastAsia="zh-CN"/>
        </w:rPr>
        <w:t>27.56</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%，主要原因是：</w:t>
      </w:r>
      <w:r>
        <w:rPr>
          <w:rFonts w:hint="eastAsia" w:ascii="仿宋" w:hAnsi="仿宋" w:eastAsia="仿宋"/>
          <w:sz w:val="30"/>
          <w:szCs w:val="30"/>
          <w:lang w:eastAsia="zh-CN"/>
        </w:rPr>
        <w:t>单位正常运转支出</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四</w:t>
      </w:r>
      <w:r>
        <w:rPr>
          <w:rFonts w:hint="eastAsia" w:ascii="仿宋" w:hAnsi="仿宋" w:eastAsia="仿宋"/>
          <w:sz w:val="30"/>
          <w:szCs w:val="30"/>
        </w:rPr>
        <w:t>）卫生健康支出年初预算数为</w:t>
      </w:r>
      <w:r>
        <w:rPr>
          <w:rFonts w:hint="eastAsia" w:ascii="仿宋" w:hAnsi="仿宋" w:eastAsia="仿宋"/>
          <w:sz w:val="30"/>
          <w:szCs w:val="30"/>
          <w:lang w:val="en-US" w:eastAsia="zh-CN"/>
        </w:rPr>
        <w:t>49.11</w:t>
      </w:r>
      <w:r>
        <w:rPr>
          <w:rFonts w:hint="eastAsia" w:ascii="仿宋" w:hAnsi="仿宋" w:eastAsia="仿宋"/>
          <w:sz w:val="30"/>
          <w:szCs w:val="30"/>
        </w:rPr>
        <w:t>万元，决算数为</w:t>
      </w:r>
      <w:r>
        <w:rPr>
          <w:rFonts w:hint="eastAsia" w:ascii="仿宋" w:hAnsi="仿宋" w:eastAsia="仿宋"/>
          <w:sz w:val="30"/>
          <w:szCs w:val="30"/>
          <w:lang w:val="en-US" w:eastAsia="zh-CN"/>
        </w:rPr>
        <w:t>49.11</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%，主要原因是：</w:t>
      </w:r>
      <w:r>
        <w:rPr>
          <w:rFonts w:hint="eastAsia" w:ascii="仿宋" w:hAnsi="仿宋" w:eastAsia="仿宋"/>
          <w:sz w:val="30"/>
          <w:szCs w:val="30"/>
          <w:lang w:eastAsia="zh-CN"/>
        </w:rPr>
        <w:t>单位正常运转支出</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五</w:t>
      </w:r>
      <w:r>
        <w:rPr>
          <w:rFonts w:hint="eastAsia" w:ascii="仿宋" w:hAnsi="仿宋" w:eastAsia="仿宋"/>
          <w:sz w:val="30"/>
          <w:szCs w:val="30"/>
        </w:rPr>
        <w:t>）农林水支出年初预算数为</w:t>
      </w:r>
      <w:r>
        <w:rPr>
          <w:rFonts w:hint="eastAsia" w:ascii="仿宋" w:hAnsi="仿宋" w:eastAsia="仿宋"/>
          <w:sz w:val="30"/>
          <w:szCs w:val="30"/>
          <w:lang w:val="en-US" w:eastAsia="zh-CN"/>
        </w:rPr>
        <w:t>199.9</w:t>
      </w:r>
      <w:r>
        <w:rPr>
          <w:rFonts w:hint="eastAsia" w:ascii="仿宋" w:hAnsi="仿宋" w:eastAsia="仿宋"/>
          <w:sz w:val="30"/>
          <w:szCs w:val="30"/>
        </w:rPr>
        <w:t>万元，决算数为</w:t>
      </w:r>
      <w:r>
        <w:rPr>
          <w:rFonts w:hint="eastAsia" w:ascii="仿宋" w:hAnsi="仿宋" w:eastAsia="仿宋"/>
          <w:sz w:val="30"/>
          <w:szCs w:val="30"/>
          <w:lang w:val="en-US" w:eastAsia="zh-CN"/>
        </w:rPr>
        <w:t>199.9</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%，主要原因是：</w:t>
      </w:r>
      <w:r>
        <w:rPr>
          <w:rFonts w:hint="eastAsia" w:ascii="仿宋" w:hAnsi="仿宋" w:eastAsia="仿宋"/>
          <w:sz w:val="30"/>
          <w:szCs w:val="30"/>
          <w:lang w:eastAsia="zh-CN"/>
        </w:rPr>
        <w:t>单位正常运转支出</w:t>
      </w:r>
      <w:r>
        <w:rPr>
          <w:rFonts w:hint="eastAsia" w:ascii="仿宋" w:hAnsi="仿宋" w:eastAsia="仿宋"/>
          <w:sz w:val="30"/>
          <w:szCs w:val="30"/>
        </w:rPr>
        <w:t>。</w:t>
      </w:r>
    </w:p>
    <w:p>
      <w:pPr>
        <w:ind w:firstLine="600" w:firstLineChars="200"/>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本部门2019年度一般公共预算财政拨款基本支出</w:t>
      </w:r>
      <w:r>
        <w:rPr>
          <w:rFonts w:hint="eastAsia" w:ascii="仿宋" w:hAnsi="仿宋" w:eastAsia="仿宋"/>
          <w:sz w:val="30"/>
          <w:szCs w:val="30"/>
          <w:lang w:val="en-US" w:eastAsia="zh-CN"/>
        </w:rPr>
        <w:t>835.38</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403.7</w:t>
      </w:r>
      <w:r>
        <w:rPr>
          <w:rFonts w:hint="eastAsia" w:ascii="仿宋" w:hAnsi="仿宋" w:eastAsia="仿宋"/>
          <w:sz w:val="30"/>
          <w:szCs w:val="30"/>
        </w:rPr>
        <w:t>万元，较2018年增加</w:t>
      </w:r>
      <w:r>
        <w:rPr>
          <w:rFonts w:hint="eastAsia" w:ascii="仿宋" w:hAnsi="仿宋" w:eastAsia="仿宋"/>
          <w:sz w:val="30"/>
          <w:szCs w:val="30"/>
          <w:lang w:val="en-US" w:eastAsia="zh-CN"/>
        </w:rPr>
        <w:t>196.7</w:t>
      </w:r>
      <w:r>
        <w:rPr>
          <w:rFonts w:hint="eastAsia" w:ascii="仿宋" w:hAnsi="仿宋" w:eastAsia="仿宋"/>
          <w:sz w:val="30"/>
          <w:szCs w:val="30"/>
        </w:rPr>
        <w:t>万元，增长</w:t>
      </w:r>
      <w:r>
        <w:rPr>
          <w:rFonts w:hint="eastAsia" w:ascii="仿宋" w:hAnsi="仿宋" w:eastAsia="仿宋"/>
          <w:sz w:val="30"/>
          <w:szCs w:val="30"/>
          <w:lang w:val="en-US" w:eastAsia="zh-CN"/>
        </w:rPr>
        <w:t>95.02</w:t>
      </w:r>
      <w:r>
        <w:rPr>
          <w:rFonts w:hint="eastAsia" w:ascii="仿宋" w:hAnsi="仿宋" w:eastAsia="仿宋"/>
          <w:sz w:val="30"/>
          <w:szCs w:val="30"/>
        </w:rPr>
        <w:t>%，主要原因是：</w:t>
      </w:r>
      <w:r>
        <w:rPr>
          <w:rFonts w:hint="eastAsia" w:ascii="仿宋" w:hAnsi="仿宋" w:eastAsia="仿宋"/>
          <w:sz w:val="30"/>
          <w:szCs w:val="30"/>
          <w:lang w:val="en-US" w:eastAsia="zh-CN"/>
        </w:rPr>
        <w:t>根据有关脱贫政策，乡村两级组织增加临聘人员生活补助支出</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194.07</w:t>
      </w:r>
      <w:r>
        <w:rPr>
          <w:rFonts w:hint="eastAsia" w:ascii="仿宋" w:hAnsi="仿宋" w:eastAsia="仿宋"/>
          <w:sz w:val="30"/>
          <w:szCs w:val="30"/>
        </w:rPr>
        <w:t>万元，较2018年减少</w:t>
      </w:r>
      <w:r>
        <w:rPr>
          <w:rFonts w:hint="eastAsia" w:ascii="仿宋" w:hAnsi="仿宋" w:eastAsia="仿宋"/>
          <w:sz w:val="30"/>
          <w:szCs w:val="30"/>
          <w:lang w:val="en-US" w:eastAsia="zh-CN"/>
        </w:rPr>
        <w:t>109.24</w:t>
      </w:r>
      <w:r>
        <w:rPr>
          <w:rFonts w:hint="eastAsia" w:ascii="仿宋" w:hAnsi="仿宋" w:eastAsia="仿宋"/>
          <w:sz w:val="30"/>
          <w:szCs w:val="30"/>
        </w:rPr>
        <w:t>万元，下降</w:t>
      </w:r>
      <w:r>
        <w:rPr>
          <w:rFonts w:hint="eastAsia" w:ascii="仿宋" w:hAnsi="仿宋" w:eastAsia="仿宋"/>
          <w:sz w:val="30"/>
          <w:szCs w:val="30"/>
          <w:lang w:val="en-US" w:eastAsia="zh-CN"/>
        </w:rPr>
        <w:t>36.02</w:t>
      </w:r>
      <w:r>
        <w:rPr>
          <w:rFonts w:hint="eastAsia" w:ascii="仿宋" w:hAnsi="仿宋" w:eastAsia="仿宋"/>
          <w:sz w:val="30"/>
          <w:szCs w:val="30"/>
        </w:rPr>
        <w:t>%，主要原因是：</w:t>
      </w:r>
      <w:r>
        <w:rPr>
          <w:rFonts w:hint="eastAsia" w:ascii="仿宋" w:hAnsi="仿宋" w:eastAsia="仿宋"/>
          <w:sz w:val="30"/>
          <w:szCs w:val="30"/>
          <w:lang w:eastAsia="zh-CN"/>
        </w:rPr>
        <w:t>单位正常运转支出</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237.61</w:t>
      </w:r>
      <w:r>
        <w:rPr>
          <w:rFonts w:hint="eastAsia" w:ascii="仿宋" w:hAnsi="仿宋" w:eastAsia="仿宋"/>
          <w:sz w:val="30"/>
          <w:szCs w:val="30"/>
        </w:rPr>
        <w:t>万元，较2018年增加</w:t>
      </w:r>
      <w:r>
        <w:rPr>
          <w:rFonts w:hint="eastAsia" w:ascii="仿宋" w:hAnsi="仿宋" w:eastAsia="仿宋"/>
          <w:sz w:val="30"/>
          <w:szCs w:val="30"/>
          <w:lang w:val="en-US" w:eastAsia="zh-CN"/>
        </w:rPr>
        <w:t>237.61</w:t>
      </w:r>
      <w:r>
        <w:rPr>
          <w:rFonts w:hint="eastAsia" w:ascii="仿宋" w:hAnsi="仿宋" w:eastAsia="仿宋"/>
          <w:sz w:val="30"/>
          <w:szCs w:val="30"/>
        </w:rPr>
        <w:t>万元，增长</w:t>
      </w:r>
      <w:r>
        <w:rPr>
          <w:rFonts w:hint="eastAsia" w:ascii="仿宋" w:hAnsi="仿宋" w:eastAsia="仿宋"/>
          <w:sz w:val="30"/>
          <w:szCs w:val="30"/>
          <w:lang w:val="en-US" w:eastAsia="zh-CN"/>
        </w:rPr>
        <w:t>100</w:t>
      </w:r>
      <w:r>
        <w:rPr>
          <w:rFonts w:hint="eastAsia" w:ascii="仿宋" w:hAnsi="仿宋" w:eastAsia="仿宋"/>
          <w:sz w:val="30"/>
          <w:szCs w:val="30"/>
        </w:rPr>
        <w:t>%，主要原因是：</w:t>
      </w:r>
      <w:r>
        <w:rPr>
          <w:rFonts w:hint="eastAsia" w:ascii="仿宋" w:hAnsi="仿宋" w:eastAsia="仿宋"/>
          <w:sz w:val="30"/>
          <w:szCs w:val="30"/>
          <w:lang w:val="en-US" w:eastAsia="zh-CN"/>
        </w:rPr>
        <w:t xml:space="preserve"> 本年度决算支出中增加了农林水对村民委员会和村党支部的补助支出预算项目</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0</w:t>
      </w:r>
      <w:r>
        <w:rPr>
          <w:rFonts w:hint="eastAsia" w:ascii="仿宋" w:hAnsi="仿宋" w:eastAsia="仿宋"/>
          <w:sz w:val="30"/>
          <w:szCs w:val="30"/>
        </w:rPr>
        <w:t>万元，较2018年增加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本部门2019年度一般公共预算财政拨款“三公”经费支出年初预算数为</w:t>
      </w:r>
      <w:r>
        <w:rPr>
          <w:rFonts w:hint="eastAsia" w:ascii="仿宋" w:hAnsi="仿宋" w:eastAsia="仿宋"/>
          <w:sz w:val="30"/>
          <w:szCs w:val="30"/>
          <w:lang w:val="en-US" w:eastAsia="zh-CN"/>
        </w:rPr>
        <w:t>21.68</w:t>
      </w:r>
      <w:r>
        <w:rPr>
          <w:rFonts w:hint="eastAsia" w:ascii="仿宋" w:hAnsi="仿宋" w:eastAsia="仿宋"/>
          <w:sz w:val="30"/>
          <w:szCs w:val="30"/>
        </w:rPr>
        <w:t>万元，决算数为</w:t>
      </w:r>
      <w:r>
        <w:rPr>
          <w:rFonts w:hint="eastAsia" w:ascii="仿宋" w:hAnsi="仿宋" w:eastAsia="仿宋"/>
          <w:sz w:val="30"/>
          <w:szCs w:val="30"/>
          <w:lang w:val="en-US" w:eastAsia="zh-CN"/>
        </w:rPr>
        <w:t>21.68</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%，决算数较2018年增加</w:t>
      </w:r>
      <w:r>
        <w:rPr>
          <w:rFonts w:hint="eastAsia" w:ascii="仿宋" w:hAnsi="仿宋" w:eastAsia="仿宋"/>
          <w:sz w:val="30"/>
          <w:szCs w:val="30"/>
          <w:lang w:val="en-US" w:eastAsia="zh-CN"/>
        </w:rPr>
        <w:t>5.79</w:t>
      </w:r>
      <w:r>
        <w:rPr>
          <w:rFonts w:hint="eastAsia" w:ascii="仿宋" w:hAnsi="仿宋" w:eastAsia="仿宋"/>
          <w:sz w:val="30"/>
          <w:szCs w:val="30"/>
        </w:rPr>
        <w:t>万元，增长</w:t>
      </w:r>
      <w:r>
        <w:rPr>
          <w:rFonts w:hint="eastAsia" w:ascii="仿宋" w:hAnsi="仿宋" w:eastAsia="仿宋"/>
          <w:sz w:val="30"/>
          <w:szCs w:val="30"/>
          <w:lang w:val="en-US" w:eastAsia="zh-CN"/>
        </w:rPr>
        <w:t>36.44</w:t>
      </w:r>
      <w:r>
        <w:rPr>
          <w:rFonts w:hint="eastAsia" w:ascii="仿宋" w:hAnsi="仿宋" w:eastAsia="仿宋"/>
          <w:sz w:val="30"/>
          <w:szCs w:val="30"/>
        </w:rPr>
        <w:t>%，其中：</w:t>
      </w:r>
    </w:p>
    <w:p>
      <w:pPr>
        <w:numPr>
          <w:ilvl w:val="0"/>
          <w:numId w:val="1"/>
        </w:numPr>
        <w:ind w:firstLine="630"/>
        <w:jc w:val="left"/>
        <w:rPr>
          <w:rFonts w:hint="eastAsia" w:ascii="仿宋" w:hAnsi="仿宋" w:eastAsia="仿宋"/>
          <w:sz w:val="30"/>
          <w:szCs w:val="30"/>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0</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 xml:space="preserve"> %，决算数较2018年增加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p>
    <w:p>
      <w:pPr>
        <w:numPr>
          <w:ilvl w:val="0"/>
          <w:numId w:val="0"/>
        </w:numPr>
        <w:ind w:firstLine="600" w:firstLineChars="200"/>
        <w:jc w:val="left"/>
        <w:rPr>
          <w:rFonts w:hint="eastAsia"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9.64</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9.64</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%，决算数较2018年增加</w:t>
      </w:r>
      <w:r>
        <w:rPr>
          <w:rFonts w:hint="eastAsia" w:ascii="仿宋" w:hAnsi="仿宋" w:eastAsia="仿宋"/>
          <w:sz w:val="30"/>
          <w:szCs w:val="30"/>
          <w:lang w:val="en-US" w:eastAsia="zh-CN"/>
        </w:rPr>
        <w:t>3.18</w:t>
      </w:r>
      <w:r>
        <w:rPr>
          <w:rFonts w:hint="eastAsia" w:ascii="仿宋" w:hAnsi="仿宋" w:eastAsia="仿宋"/>
          <w:sz w:val="30"/>
          <w:szCs w:val="30"/>
        </w:rPr>
        <w:t>万元，增长</w:t>
      </w:r>
      <w:r>
        <w:rPr>
          <w:rFonts w:hint="eastAsia" w:ascii="仿宋" w:hAnsi="仿宋" w:eastAsia="仿宋"/>
          <w:sz w:val="30"/>
          <w:szCs w:val="30"/>
          <w:lang w:val="en-US" w:eastAsia="zh-CN"/>
        </w:rPr>
        <w:t>49.23</w:t>
      </w:r>
      <w:r>
        <w:rPr>
          <w:rFonts w:hint="eastAsia" w:ascii="仿宋" w:hAnsi="仿宋" w:eastAsia="仿宋"/>
          <w:sz w:val="30"/>
          <w:szCs w:val="30"/>
        </w:rPr>
        <w:t>%。决算数较年初预算数增加的主要原因是：</w:t>
      </w:r>
      <w:r>
        <w:rPr>
          <w:rFonts w:hint="eastAsia" w:ascii="仿宋" w:hAnsi="仿宋" w:eastAsia="仿宋"/>
          <w:sz w:val="30"/>
          <w:szCs w:val="30"/>
          <w:highlight w:val="none"/>
          <w:lang w:eastAsia="zh-CN"/>
        </w:rPr>
        <w:t>单位正常运转支出</w:t>
      </w:r>
      <w:r>
        <w:rPr>
          <w:rFonts w:hint="eastAsia" w:ascii="仿宋" w:hAnsi="仿宋" w:eastAsia="仿宋"/>
          <w:sz w:val="30"/>
          <w:szCs w:val="30"/>
          <w:highlight w:val="none"/>
        </w:rPr>
        <w:t>。</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12.04</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万元，完成年初预算的</w:t>
      </w:r>
      <w:r>
        <w:rPr>
          <w:rFonts w:hint="eastAsia" w:ascii="仿宋" w:hAnsi="仿宋" w:eastAsia="仿宋"/>
          <w:sz w:val="30"/>
          <w:szCs w:val="30"/>
          <w:lang w:val="en-US" w:eastAsia="zh-CN"/>
        </w:rPr>
        <w:t>0</w:t>
      </w:r>
      <w:r>
        <w:rPr>
          <w:rFonts w:hint="eastAsia" w:ascii="仿宋" w:hAnsi="仿宋" w:eastAsia="仿宋"/>
          <w:sz w:val="30"/>
          <w:szCs w:val="30"/>
        </w:rPr>
        <w:t xml:space="preserve"> %；公务用车运行维护费支出年初预算数为</w:t>
      </w:r>
      <w:r>
        <w:rPr>
          <w:rFonts w:hint="eastAsia" w:ascii="仿宋" w:hAnsi="仿宋" w:eastAsia="仿宋"/>
          <w:sz w:val="30"/>
          <w:szCs w:val="30"/>
          <w:lang w:val="en-US" w:eastAsia="zh-CN"/>
        </w:rPr>
        <w:t>12.04</w:t>
      </w:r>
      <w:r>
        <w:rPr>
          <w:rFonts w:hint="eastAsia" w:ascii="仿宋" w:hAnsi="仿宋" w:eastAsia="仿宋"/>
          <w:sz w:val="30"/>
          <w:szCs w:val="30"/>
        </w:rPr>
        <w:t>万元，决算数为</w:t>
      </w:r>
      <w:r>
        <w:rPr>
          <w:rFonts w:hint="eastAsia" w:ascii="仿宋" w:hAnsi="仿宋" w:eastAsia="仿宋"/>
          <w:sz w:val="30"/>
          <w:szCs w:val="30"/>
          <w:lang w:val="en-US" w:eastAsia="zh-CN"/>
        </w:rPr>
        <w:t>12.04</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%，决算数较2018年增加</w:t>
      </w:r>
      <w:r>
        <w:rPr>
          <w:rFonts w:hint="eastAsia" w:ascii="仿宋" w:hAnsi="仿宋" w:eastAsia="仿宋"/>
          <w:sz w:val="30"/>
          <w:szCs w:val="30"/>
          <w:lang w:val="en-US" w:eastAsia="zh-CN"/>
        </w:rPr>
        <w:t>2.</w:t>
      </w:r>
      <w:r>
        <w:rPr>
          <w:rFonts w:hint="eastAsia" w:ascii="仿宋" w:hAnsi="仿宋" w:eastAsia="仿宋"/>
          <w:sz w:val="30"/>
          <w:szCs w:val="30"/>
          <w:highlight w:val="none"/>
          <w:lang w:val="en-US" w:eastAsia="zh-CN"/>
        </w:rPr>
        <w:t>61</w:t>
      </w:r>
      <w:r>
        <w:rPr>
          <w:rFonts w:hint="eastAsia" w:ascii="仿宋" w:hAnsi="仿宋" w:eastAsia="仿宋"/>
          <w:sz w:val="30"/>
          <w:szCs w:val="30"/>
          <w:highlight w:val="none"/>
        </w:rPr>
        <w:t>万元，增长</w:t>
      </w:r>
      <w:r>
        <w:rPr>
          <w:rFonts w:hint="eastAsia" w:ascii="仿宋" w:hAnsi="仿宋" w:eastAsia="仿宋"/>
          <w:sz w:val="30"/>
          <w:szCs w:val="30"/>
          <w:highlight w:val="none"/>
          <w:lang w:val="en-US" w:eastAsia="zh-CN"/>
        </w:rPr>
        <w:t>27.68</w:t>
      </w:r>
      <w:r>
        <w:rPr>
          <w:rFonts w:hint="eastAsia" w:ascii="仿宋" w:hAnsi="仿宋" w:eastAsia="仿宋"/>
          <w:sz w:val="30"/>
          <w:szCs w:val="30"/>
          <w:highlight w:val="none"/>
        </w:rPr>
        <w:t>%。决算数较年初预算数增加的主要原因是：</w:t>
      </w:r>
      <w:r>
        <w:rPr>
          <w:rFonts w:hint="eastAsia" w:ascii="仿宋" w:hAnsi="仿宋" w:eastAsia="仿宋"/>
          <w:sz w:val="30"/>
          <w:szCs w:val="30"/>
          <w:highlight w:val="none"/>
          <w:lang w:eastAsia="zh-CN"/>
        </w:rPr>
        <w:t>单位正常运转支出</w:t>
      </w:r>
      <w:r>
        <w:rPr>
          <w:rFonts w:hint="eastAsia" w:ascii="仿宋" w:hAnsi="仿宋" w:eastAsia="仿宋"/>
          <w:sz w:val="30"/>
          <w:szCs w:val="30"/>
          <w:highlight w:val="none"/>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highlight w:val="none"/>
        </w:rPr>
      </w:pPr>
      <w:r>
        <w:rPr>
          <w:rFonts w:hint="eastAsia" w:ascii="仿宋" w:hAnsi="仿宋" w:eastAsia="仿宋"/>
          <w:sz w:val="30"/>
          <w:szCs w:val="30"/>
        </w:rPr>
        <w:t>本部门2019年度机关运行经费支出</w:t>
      </w:r>
      <w:r>
        <w:rPr>
          <w:rFonts w:hint="eastAsia" w:ascii="仿宋" w:hAnsi="仿宋" w:eastAsia="仿宋"/>
          <w:sz w:val="30"/>
          <w:szCs w:val="30"/>
          <w:lang w:val="en-US" w:eastAsia="zh-CN"/>
        </w:rPr>
        <w:t>194.07</w:t>
      </w:r>
      <w:r>
        <w:rPr>
          <w:rFonts w:hint="eastAsia" w:ascii="仿宋" w:hAnsi="仿宋" w:eastAsia="仿宋"/>
          <w:sz w:val="30"/>
          <w:szCs w:val="30"/>
        </w:rPr>
        <w:t>万元（与部门决算中行政单位和参照公务员法管理事业单位一般公共预算财政拨款基本支出中公用经</w:t>
      </w:r>
      <w:r>
        <w:rPr>
          <w:rFonts w:hint="eastAsia" w:ascii="仿宋" w:hAnsi="仿宋" w:eastAsia="仿宋"/>
          <w:sz w:val="30"/>
          <w:szCs w:val="30"/>
          <w:highlight w:val="none"/>
        </w:rPr>
        <w:t>费之和保持一致），较年初预算数增加</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万元，增长</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%，主要原因是：</w:t>
      </w:r>
      <w:r>
        <w:rPr>
          <w:rFonts w:hint="eastAsia" w:ascii="仿宋" w:hAnsi="仿宋" w:eastAsia="仿宋"/>
          <w:sz w:val="30"/>
          <w:szCs w:val="30"/>
          <w:highlight w:val="none"/>
          <w:lang w:eastAsia="zh-CN"/>
        </w:rPr>
        <w:t>年初预算相对准确</w:t>
      </w:r>
      <w:r>
        <w:rPr>
          <w:rFonts w:hint="eastAsia" w:ascii="仿宋" w:hAnsi="仿宋" w:eastAsia="仿宋"/>
          <w:sz w:val="30"/>
          <w:szCs w:val="30"/>
          <w:highlight w:val="none"/>
        </w:rPr>
        <w:t xml:space="preserve">。 </w:t>
      </w:r>
    </w:p>
    <w:p>
      <w:pPr>
        <w:ind w:firstLine="630"/>
        <w:jc w:val="left"/>
        <w:rPr>
          <w:rFonts w:ascii="黑体" w:hAnsi="黑体" w:eastAsia="黑体"/>
          <w:sz w:val="30"/>
          <w:szCs w:val="30"/>
          <w:highlight w:val="none"/>
        </w:rPr>
      </w:pPr>
      <w:r>
        <w:rPr>
          <w:rFonts w:hint="eastAsia" w:ascii="黑体" w:hAnsi="黑体" w:eastAsia="黑体"/>
          <w:sz w:val="30"/>
          <w:szCs w:val="30"/>
          <w:highlight w:val="none"/>
        </w:rPr>
        <w:t>七、政府采购支出情况说明</w:t>
      </w:r>
    </w:p>
    <w:p>
      <w:pPr>
        <w:pStyle w:val="5"/>
        <w:spacing w:line="600" w:lineRule="atLeast"/>
        <w:ind w:firstLine="600"/>
        <w:rPr>
          <w:rFonts w:hint="eastAsia" w:ascii="仿宋" w:hAnsi="仿宋" w:eastAsia="仿宋"/>
          <w:sz w:val="30"/>
          <w:szCs w:val="30"/>
        </w:rPr>
      </w:pPr>
      <w:r>
        <w:rPr>
          <w:rFonts w:hint="eastAsia" w:ascii="仿宋" w:hAnsi="仿宋" w:eastAsia="仿宋"/>
          <w:sz w:val="30"/>
          <w:szCs w:val="30"/>
        </w:rPr>
        <w:t>本部门2019年度政府采购支出总额</w:t>
      </w:r>
      <w:r>
        <w:rPr>
          <w:rFonts w:hint="eastAsia" w:ascii="仿宋" w:hAnsi="仿宋" w:eastAsia="仿宋"/>
          <w:sz w:val="30"/>
          <w:szCs w:val="30"/>
          <w:lang w:val="en-US" w:eastAsia="zh-CN"/>
        </w:rPr>
        <w:t>0</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0</w:t>
      </w:r>
      <w:r>
        <w:rPr>
          <w:rFonts w:hint="eastAsia" w:ascii="仿宋" w:hAnsi="仿宋" w:eastAsia="仿宋"/>
          <w:sz w:val="30"/>
          <w:szCs w:val="30"/>
        </w:rPr>
        <w:t>万元、政府采购工程支出</w:t>
      </w:r>
      <w:r>
        <w:rPr>
          <w:rFonts w:hint="eastAsia" w:ascii="仿宋" w:hAnsi="仿宋" w:eastAsia="仿宋"/>
          <w:sz w:val="30"/>
          <w:szCs w:val="30"/>
          <w:lang w:val="en-US" w:eastAsia="zh-CN"/>
        </w:rPr>
        <w:t>0</w:t>
      </w:r>
      <w:r>
        <w:rPr>
          <w:rFonts w:hint="eastAsia" w:ascii="仿宋" w:hAnsi="仿宋" w:eastAsia="仿宋"/>
          <w:sz w:val="30"/>
          <w:szCs w:val="30"/>
        </w:rPr>
        <w:t>万元、政府采购服务支出</w:t>
      </w:r>
      <w:r>
        <w:rPr>
          <w:rFonts w:hint="eastAsia" w:ascii="仿宋" w:hAnsi="仿宋" w:eastAsia="仿宋"/>
          <w:sz w:val="30"/>
          <w:szCs w:val="30"/>
          <w:lang w:val="en-US" w:eastAsia="zh-CN"/>
        </w:rPr>
        <w:t>0</w:t>
      </w:r>
      <w:r>
        <w:rPr>
          <w:rFonts w:hint="eastAsia" w:ascii="仿宋" w:hAnsi="仿宋" w:eastAsia="仿宋"/>
          <w:sz w:val="30"/>
          <w:szCs w:val="30"/>
        </w:rPr>
        <w:t>万元。授予中小企业合同金额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%，其中：授予小微企业合同金额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%。（省级部门公开的政府采购金额的计算口径为：本部门纳入2019年部门预算范围的各项政府采购支出金额之和，不包括涉密采购项目的支出金额。）</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截止2019年12月31日，本部门国有资产占用情况见公开09表《国有资产占用情况表》。</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201</w:t>
      </w:r>
      <w:r>
        <w:rPr>
          <w:rFonts w:hint="eastAsia" w:ascii="仿宋" w:hAnsi="仿宋" w:eastAsia="仿宋" w:cs="仿宋_GB2312"/>
          <w:kern w:val="0"/>
          <w:sz w:val="30"/>
          <w:szCs w:val="30"/>
        </w:rPr>
        <w:t>9年度一般公共预算项目支出全面开展绩效自评，其中，一级项目  个，二级项目</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个，共涉及资金  万元，占一般公共预算项目支出总额的  %。</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组织对“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  个项目开展了部门评价，涉及一般公共预算支出  万元。其中，对“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”等项目分别委托“</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”等第三方机构开展</w:t>
      </w:r>
      <w:r>
        <w:rPr>
          <w:rFonts w:hint="eastAsia" w:ascii="仿宋" w:hAnsi="仿宋" w:eastAsia="仿宋" w:cs="宋体"/>
          <w:kern w:val="0"/>
          <w:sz w:val="30"/>
          <w:szCs w:val="30"/>
        </w:rPr>
        <w:t>绩效评价</w:t>
      </w:r>
      <w:r>
        <w:rPr>
          <w:rFonts w:hint="eastAsia" w:ascii="仿宋" w:hAnsi="仿宋" w:eastAsia="仿宋" w:cs="仿宋_GB2312"/>
          <w:kern w:val="0"/>
          <w:sz w:val="30"/>
          <w:szCs w:val="30"/>
        </w:rPr>
        <w:t>。从评价情况来看，……（请对预算绩效评价情况进行简单说明）。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（二）部门决算中项目绩效自评结果（选择1至2个项目）。</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我部门今年在省级部门决算中反映</w:t>
      </w:r>
      <w:r>
        <w:rPr>
          <w:rFonts w:ascii="仿宋" w:hAnsi="仿宋" w:eastAsia="仿宋" w:cs="仿宋_GB2312"/>
          <w:kern w:val="0"/>
          <w:sz w:val="30"/>
          <w:szCs w:val="30"/>
        </w:rPr>
        <w:t>XXX</w:t>
      </w:r>
      <w:r>
        <w:rPr>
          <w:rFonts w:hint="eastAsia" w:ascii="仿宋" w:hAnsi="仿宋" w:eastAsia="仿宋" w:cs="仿宋_GB2312"/>
          <w:kern w:val="0"/>
          <w:sz w:val="30"/>
          <w:szCs w:val="30"/>
        </w:rPr>
        <w:t>及</w:t>
      </w:r>
      <w:r>
        <w:rPr>
          <w:rFonts w:ascii="仿宋" w:hAnsi="仿宋" w:eastAsia="仿宋" w:cs="仿宋_GB2312"/>
          <w:kern w:val="0"/>
          <w:sz w:val="30"/>
          <w:szCs w:val="30"/>
        </w:rPr>
        <w:t>XXX</w:t>
      </w:r>
      <w:r>
        <w:rPr>
          <w:rFonts w:hint="eastAsia" w:ascii="仿宋" w:hAnsi="仿宋" w:eastAsia="仿宋" w:cs="仿宋_GB2312"/>
          <w:kern w:val="0"/>
          <w:sz w:val="30"/>
          <w:szCs w:val="30"/>
        </w:rPr>
        <w:t>项目绩效自评结果。</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ascii="仿宋" w:hAnsi="仿宋" w:eastAsia="仿宋" w:cs="仿宋_GB2312"/>
          <w:kern w:val="0"/>
          <w:sz w:val="30"/>
          <w:szCs w:val="30"/>
        </w:rPr>
        <w:t>XXX</w:t>
      </w:r>
      <w:r>
        <w:rPr>
          <w:rFonts w:hint="eastAsia" w:ascii="仿宋" w:hAnsi="仿宋" w:eastAsia="仿宋" w:cs="仿宋_GB2312"/>
          <w:kern w:val="0"/>
          <w:sz w:val="30"/>
          <w:szCs w:val="30"/>
        </w:rPr>
        <w:t>项目绩效自评综述：根据年初设定的绩效目标，</w:t>
      </w:r>
      <w:r>
        <w:rPr>
          <w:rFonts w:ascii="仿宋" w:hAnsi="仿宋" w:eastAsia="仿宋" w:cs="仿宋_GB2312"/>
          <w:kern w:val="0"/>
          <w:sz w:val="30"/>
          <w:szCs w:val="30"/>
        </w:rPr>
        <w:t xml:space="preserve">XXX </w:t>
      </w:r>
      <w:r>
        <w:rPr>
          <w:rFonts w:hint="eastAsia" w:ascii="仿宋" w:hAnsi="仿宋" w:eastAsia="仿宋" w:cs="仿宋_GB2312"/>
          <w:kern w:val="0"/>
          <w:sz w:val="30"/>
          <w:szCs w:val="30"/>
        </w:rPr>
        <w:t xml:space="preserve">项目绩效自评得分为 </w:t>
      </w:r>
      <w:r>
        <w:rPr>
          <w:rFonts w:ascii="仿宋" w:hAnsi="仿宋" w:eastAsia="仿宋" w:cs="仿宋_GB2312"/>
          <w:kern w:val="0"/>
          <w:sz w:val="30"/>
          <w:szCs w:val="30"/>
        </w:rPr>
        <w:t xml:space="preserve"> </w:t>
      </w:r>
      <w:r>
        <w:rPr>
          <w:rFonts w:hint="eastAsia" w:ascii="仿宋" w:hAnsi="仿宋" w:eastAsia="仿宋" w:cs="仿宋_GB2312"/>
          <w:kern w:val="0"/>
          <w:sz w:val="30"/>
          <w:szCs w:val="30"/>
        </w:rPr>
        <w:t xml:space="preserve">分。项目全年预算数为  万元，执行数为   </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万元，完成预算的  %。主要产出和效果：一是……；二是……。发现的问题及原因：一是……；二是……。下一步改进措施：一是……；二是……。</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r>
        <w:rPr>
          <w:rFonts w:ascii="仿宋" w:hAnsi="仿宋" w:eastAsia="仿宋" w:cs="仿宋_GB2312"/>
          <w:kern w:val="0"/>
          <w:sz w:val="30"/>
          <w:szCs w:val="30"/>
        </w:rPr>
        <w:t>XXX</w:t>
      </w:r>
      <w:r>
        <w:rPr>
          <w:rFonts w:hint="eastAsia" w:ascii="仿宋" w:hAnsi="仿宋" w:eastAsia="仿宋" w:cs="仿宋_GB2312"/>
          <w:kern w:val="0"/>
          <w:sz w:val="30"/>
          <w:szCs w:val="30"/>
        </w:rPr>
        <w:t>项目绩效自评综述：……。</w:t>
      </w:r>
    </w:p>
    <w:p>
      <w:pPr>
        <w:autoSpaceDE w:val="0"/>
        <w:autoSpaceDN w:val="0"/>
        <w:adjustRightInd w:val="0"/>
        <w:spacing w:line="360" w:lineRule="auto"/>
        <w:ind w:firstLine="600"/>
        <w:jc w:val="left"/>
        <w:rPr>
          <w:rFonts w:ascii="仿宋" w:hAnsi="仿宋" w:eastAsia="仿宋" w:cs="仿宋_GB2312"/>
          <w:kern w:val="0"/>
          <w:sz w:val="30"/>
          <w:szCs w:val="30"/>
        </w:rPr>
      </w:pPr>
      <w:r>
        <w:rPr>
          <w:rFonts w:hint="eastAsia" w:ascii="仿宋" w:hAnsi="仿宋" w:eastAsia="仿宋" w:cs="仿宋_GB2312"/>
          <w:kern w:val="0"/>
          <w:sz w:val="30"/>
          <w:szCs w:val="30"/>
        </w:rPr>
        <w:t>在公开项目绩效自评综述的同时，需公开《项目支出绩效自评表》。</w:t>
      </w:r>
    </w:p>
    <w:p>
      <w:pPr>
        <w:rPr>
          <w:rFonts w:hint="eastAsia"/>
        </w:rPr>
      </w:pPr>
    </w:p>
    <w:p>
      <w:pPr>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5"/>
        <w:spacing w:line="600" w:lineRule="atLeast"/>
        <w:ind w:firstLine="600"/>
        <w:rPr>
          <w:rFonts w:hint="eastAsia" w:ascii="仿宋" w:hAnsi="仿宋" w:eastAsia="仿宋"/>
          <w:sz w:val="30"/>
          <w:szCs w:val="30"/>
        </w:rPr>
      </w:pPr>
    </w:p>
    <w:p>
      <w:pPr>
        <w:widowControl/>
        <w:spacing w:line="580" w:lineRule="exact"/>
        <w:jc w:val="left"/>
        <w:rPr>
          <w:rFonts w:hint="eastAsia" w:ascii="仿宋" w:hAnsi="仿宋" w:eastAsia="仿宋"/>
          <w:kern w:val="0"/>
          <w:sz w:val="30"/>
          <w:szCs w:val="30"/>
        </w:rPr>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0029AB"/>
    <w:multiLevelType w:val="singleLevel"/>
    <w:tmpl w:val="730029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360AD"/>
    <w:rsid w:val="03017970"/>
    <w:rsid w:val="0D8E7EE6"/>
    <w:rsid w:val="0F240308"/>
    <w:rsid w:val="0FD523FF"/>
    <w:rsid w:val="156D16D3"/>
    <w:rsid w:val="211E39DE"/>
    <w:rsid w:val="269520BC"/>
    <w:rsid w:val="2B543680"/>
    <w:rsid w:val="2B667170"/>
    <w:rsid w:val="2E97215E"/>
    <w:rsid w:val="2F082708"/>
    <w:rsid w:val="37F360AD"/>
    <w:rsid w:val="38D34C09"/>
    <w:rsid w:val="3AE13EA9"/>
    <w:rsid w:val="41875F10"/>
    <w:rsid w:val="47D15CC0"/>
    <w:rsid w:val="48366D3A"/>
    <w:rsid w:val="4AEF5BE6"/>
    <w:rsid w:val="55E86877"/>
    <w:rsid w:val="5AA77C11"/>
    <w:rsid w:val="5C375077"/>
    <w:rsid w:val="5FAD6720"/>
    <w:rsid w:val="60A43926"/>
    <w:rsid w:val="69506EED"/>
    <w:rsid w:val="75B06194"/>
    <w:rsid w:val="762C1404"/>
    <w:rsid w:val="788A0DA8"/>
    <w:rsid w:val="7D3F370B"/>
    <w:rsid w:val="7DB6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2021-05-08T04:51:00Z</dcterms:created>
  <dc:creator>DELL</dc:creator>
  <cp:lastModifiedBy>Administrator</cp:lastModifiedBy>
  <dcterms:modified xsi:type="dcterms:W3CDTF">2021-05-09T08:15:20Z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5B57CA5350C64D69BEC9CC3EC63BCD2D</vt:lpwstr>
  </property>
</Properties>
</file>