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2"/>
          <w:szCs w:val="42"/>
          <w:lang w:val="en-US" w:eastAsia="zh-CN"/>
        </w:rPr>
        <w:t>盘古山</w:t>
      </w:r>
      <w:r>
        <w:rPr>
          <w:rFonts w:hint="eastAsia" w:ascii="方正小标宋简体" w:hAnsi="方正小标宋简体" w:eastAsia="方正小标宋简体" w:cs="方正小标宋简体"/>
          <w:b w:val="0"/>
          <w:bCs w:val="0"/>
          <w:sz w:val="42"/>
          <w:szCs w:val="42"/>
        </w:rPr>
        <w:t>镇202</w:t>
      </w:r>
      <w:r>
        <w:rPr>
          <w:rFonts w:hint="eastAsia" w:ascii="方正小标宋简体" w:hAnsi="方正小标宋简体" w:eastAsia="方正小标宋简体" w:cs="方正小标宋简体"/>
          <w:b w:val="0"/>
          <w:bCs w:val="0"/>
          <w:sz w:val="42"/>
          <w:szCs w:val="42"/>
          <w:lang w:val="en-US" w:eastAsia="zh-CN"/>
        </w:rPr>
        <w:t>1</w:t>
      </w:r>
      <w:r>
        <w:rPr>
          <w:rFonts w:hint="eastAsia" w:ascii="方正小标宋简体" w:hAnsi="方正小标宋简体" w:eastAsia="方正小标宋简体" w:cs="方正小标宋简体"/>
          <w:b w:val="0"/>
          <w:bCs w:val="0"/>
          <w:sz w:val="42"/>
          <w:szCs w:val="42"/>
        </w:rPr>
        <w:t>年政府信息公开工作年度报告</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盘古山镇人民政府结合有关统计数据编制。本年度报告中所列数据的统计期限自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年1月1日起至202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盘古山镇人民政府网站下载。如对本报告有任何疑问，请与盘古山镇</w:t>
      </w:r>
      <w:r>
        <w:rPr>
          <w:rFonts w:hint="eastAsia" w:ascii="仿宋_GB2312" w:hAnsi="仿宋_GB2312" w:eastAsia="仿宋_GB2312" w:cs="仿宋_GB2312"/>
          <w:i w:val="0"/>
          <w:iCs w:val="0"/>
          <w:caps w:val="0"/>
          <w:color w:val="333333"/>
          <w:spacing w:val="0"/>
          <w:kern w:val="0"/>
          <w:sz w:val="32"/>
          <w:szCs w:val="32"/>
          <w:shd w:val="clear" w:fill="FFFFFF"/>
        </w:rPr>
        <w:t>人民政府办公室</w:t>
      </w:r>
      <w:r>
        <w:rPr>
          <w:rFonts w:hint="eastAsia" w:ascii="仿宋_GB2312" w:hAnsi="仿宋_GB2312" w:eastAsia="仿宋_GB2312" w:cs="仿宋_GB2312"/>
          <w:color w:val="333333"/>
          <w:kern w:val="0"/>
          <w:sz w:val="32"/>
          <w:szCs w:val="32"/>
        </w:rPr>
        <w:t>联系（地址：盘古山镇人民政府</w:t>
      </w:r>
      <w:r>
        <w:rPr>
          <w:rFonts w:hint="eastAsia" w:ascii="仿宋_GB2312" w:hAnsi="仿宋_GB2312" w:eastAsia="仿宋_GB2312" w:cs="仿宋_GB2312"/>
          <w:color w:val="333333"/>
          <w:kern w:val="0"/>
          <w:sz w:val="32"/>
          <w:szCs w:val="32"/>
          <w:lang w:val="en-US" w:eastAsia="zh-CN"/>
        </w:rPr>
        <w:t>大院</w:t>
      </w:r>
      <w:r>
        <w:rPr>
          <w:rFonts w:hint="eastAsia" w:ascii="仿宋_GB2312" w:hAnsi="仿宋_GB2312" w:eastAsia="仿宋_GB2312" w:cs="仿宋_GB2312"/>
          <w:color w:val="333333"/>
          <w:kern w:val="0"/>
          <w:sz w:val="32"/>
          <w:szCs w:val="32"/>
        </w:rPr>
        <w:t>，电话：0797</w:t>
      </w:r>
      <w:r>
        <w:rPr>
          <w:rFonts w:hint="eastAsia"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rPr>
        <w:t>6296001，邮编：342311）。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2021年盘古山镇人民政府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2021年政务公开工作要点的通知》的要求。紧紧围绕省委、省政府中心工作及社会群众关注关切，着力提升政府信息公开质量，推进拓宽政府信息公开渠道，不断增强政府信息公开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333333"/>
          <w:kern w:val="0"/>
          <w:sz w:val="32"/>
          <w:szCs w:val="32"/>
          <w:lang w:val="en-US" w:eastAsia="zh-CN"/>
        </w:rPr>
      </w:pPr>
      <w:r>
        <w:rPr>
          <w:rFonts w:hint="eastAsia" w:ascii="楷体_GB2312" w:hAnsi="楷体_GB2312" w:eastAsia="楷体_GB2312" w:cs="楷体_GB2312"/>
          <w:color w:val="333333"/>
          <w:kern w:val="0"/>
          <w:sz w:val="32"/>
          <w:szCs w:val="32"/>
          <w:lang w:val="en-US" w:eastAsia="zh-CN"/>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1.决策公开（重大行政决策法定程序、重大决策预公开制度、意见征集形式）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2.管理公开（权责清单、清单动态调整公开机制、行政执法公示制度、监管情况）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3.服务公开（公开服务事项、行政审批中介服务事项清单、体政务服务中心与网上办事大厅结合）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4.结果公开（重大决策及重要政策落实情况、发展规划及政府工作报告、政府决定事项落实、重大决策跟踪反馈和评估制度）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5.执行公开（重点领域信息公开）（财政预决算、公共资源配置、重大建设项目批准和实施、社会公益事业建设等领域）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333333"/>
          <w:kern w:val="0"/>
          <w:sz w:val="32"/>
          <w:szCs w:val="32"/>
          <w:lang w:val="en-US" w:eastAsia="zh-CN"/>
        </w:rPr>
      </w:pPr>
      <w:r>
        <w:rPr>
          <w:rFonts w:hint="eastAsia" w:ascii="楷体_GB2312" w:hAnsi="楷体_GB2312" w:eastAsia="楷体_GB2312" w:cs="楷体_GB2312"/>
          <w:color w:val="333333"/>
          <w:kern w:val="0"/>
          <w:sz w:val="32"/>
          <w:szCs w:val="32"/>
          <w:lang w:val="en-US" w:eastAsia="zh-CN"/>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1.重视依申请公开工作（依申请指南、渠道、制度规范、答复格式规范）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2.受理情况分析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333333"/>
          <w:kern w:val="0"/>
          <w:sz w:val="32"/>
          <w:szCs w:val="32"/>
          <w:lang w:val="en-US" w:eastAsia="zh-CN"/>
        </w:rPr>
      </w:pPr>
      <w:r>
        <w:rPr>
          <w:rFonts w:hint="eastAsia" w:ascii="楷体_GB2312" w:hAnsi="楷体_GB2312" w:eastAsia="楷体_GB2312" w:cs="楷体_GB2312"/>
          <w:color w:val="333333"/>
          <w:kern w:val="0"/>
          <w:sz w:val="32"/>
          <w:szCs w:val="32"/>
          <w:lang w:val="en-US" w:eastAsia="zh-CN"/>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1.规范化标准化建设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2.数字化管理（加大数据公开力度）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3.规范信息审核发布机制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4.规范性文件清理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楷体_GB2312" w:hAnsi="楷体_GB2312" w:eastAsia="楷体_GB2312" w:cs="楷体_GB2312"/>
          <w:color w:val="333333"/>
          <w:kern w:val="0"/>
          <w:sz w:val="32"/>
          <w:szCs w:val="32"/>
          <w:lang w:val="en-US" w:eastAsia="zh-CN"/>
        </w:rPr>
        <w:t>（四）平台建设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1.政府门户网站第一平台作用（专题专栏）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2.公开方式多样化（政务新媒体、手机APP、两微一端）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3.网站集约化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4.网站监管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楷体_GB2312" w:hAnsi="楷体_GB2312" w:eastAsia="楷体_GB2312" w:cs="楷体_GB2312"/>
          <w:color w:val="333333"/>
          <w:kern w:val="0"/>
          <w:sz w:val="32"/>
          <w:szCs w:val="32"/>
          <w:lang w:val="en-US" w:eastAsia="zh-CN"/>
        </w:rPr>
        <w:t>（五）监督保障（工作考核、社会评议和责任追究结果情况）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1.工作考核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2.社会评议和责任追究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3.组织领导、监督检查</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1217"/>
        <w:gridCol w:w="1218"/>
        <w:gridCol w:w="2435"/>
      </w:tblGrid>
      <w:tr>
        <w:tblPrEx>
          <w:tblCellMar>
            <w:top w:w="0" w:type="dxa"/>
            <w:left w:w="0" w:type="dxa"/>
            <w:bottom w:w="0" w:type="dxa"/>
            <w:right w:w="0" w:type="dxa"/>
          </w:tblCellMar>
        </w:tblPrEx>
        <w:trPr>
          <w:trHeight w:val="439" w:hRule="atLeast"/>
          <w:jc w:val="center"/>
        </w:trPr>
        <w:tc>
          <w:tcPr>
            <w:tcW w:w="9740" w:type="dxa"/>
            <w:gridSpan w:val="5"/>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b/>
                <w:bCs/>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本年新制作数量</w:t>
            </w:r>
          </w:p>
        </w:tc>
        <w:tc>
          <w:tcPr>
            <w:tcW w:w="2435" w:type="dxa"/>
            <w:gridSpan w:val="2"/>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本年新公开数量</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对外公开总数量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588" w:hRule="atLeast"/>
          <w:jc w:val="center"/>
        </w:trPr>
        <w:tc>
          <w:tcPr>
            <w:tcW w:w="9740" w:type="dxa"/>
            <w:gridSpan w:val="5"/>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b/>
                <w:bCs/>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上一年项目数量</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本年增/减</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行政许可</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其他对外管理服务事项</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kern w:val="0"/>
                <w:sz w:val="24"/>
                <w:lang w:val="en-US" w:eastAsia="zh-CN"/>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541" w:hRule="atLeast"/>
          <w:jc w:val="center"/>
        </w:trPr>
        <w:tc>
          <w:tcPr>
            <w:tcW w:w="9740" w:type="dxa"/>
            <w:gridSpan w:val="5"/>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b/>
                <w:bCs/>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宋体" w:hAnsi="宋体" w:cs="宋体"/>
                <w:color w:val="000000"/>
                <w:kern w:val="0"/>
                <w:sz w:val="20"/>
                <w:szCs w:val="20"/>
                <w:lang w:val="en-US" w:eastAsia="zh-CN"/>
              </w:rPr>
              <w:t>上一年项目数量</w:t>
            </w:r>
          </w:p>
        </w:tc>
        <w:tc>
          <w:tcPr>
            <w:tcW w:w="2435" w:type="dxa"/>
            <w:gridSpan w:val="2"/>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本年增/减</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行政处罚</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lang w:val="en-US" w:eastAsia="zh-CN"/>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行政强制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243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color w:val="000000"/>
                <w:kern w:val="0"/>
                <w:sz w:val="20"/>
                <w:szCs w:val="20"/>
                <w:lang w:val="en-US" w:eastAsia="zh-CN"/>
              </w:rPr>
            </w:pPr>
            <w:r>
              <w:rPr>
                <w:rFonts w:hint="eastAsia" w:ascii="Calibri" w:hAnsi="Calibri" w:cs="宋体"/>
                <w:kern w:val="0"/>
                <w:szCs w:val="21"/>
                <w:lang w:val="en-US" w:eastAsia="zh-CN"/>
              </w:rPr>
              <w:t>0</w:t>
            </w:r>
          </w:p>
        </w:tc>
      </w:tr>
      <w:tr>
        <w:tblPrEx>
          <w:tblCellMar>
            <w:top w:w="0" w:type="dxa"/>
            <w:left w:w="0" w:type="dxa"/>
            <w:bottom w:w="0" w:type="dxa"/>
            <w:right w:w="0" w:type="dxa"/>
          </w:tblCellMar>
        </w:tblPrEx>
        <w:trPr>
          <w:trHeight w:val="510" w:hRule="atLeast"/>
          <w:jc w:val="center"/>
        </w:trPr>
        <w:tc>
          <w:tcPr>
            <w:tcW w:w="9740" w:type="dxa"/>
            <w:gridSpan w:val="5"/>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b/>
                <w:bCs/>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信息内容</w:t>
            </w:r>
          </w:p>
        </w:tc>
        <w:tc>
          <w:tcPr>
            <w:tcW w:w="3652" w:type="dxa"/>
            <w:gridSpan w:val="2"/>
            <w:tcBorders>
              <w:top w:val="nil"/>
              <w:left w:val="nil"/>
              <w:bottom w:val="single" w:color="auto" w:sz="4" w:space="0"/>
              <w:right w:val="single" w:color="000000"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宋体" w:hAnsi="宋体" w:cs="宋体"/>
                <w:color w:val="000000"/>
                <w:kern w:val="0"/>
                <w:sz w:val="20"/>
                <w:szCs w:val="20"/>
                <w:lang w:val="en-US" w:eastAsia="zh-CN"/>
              </w:rPr>
              <w:t>上一年项目数量</w:t>
            </w:r>
          </w:p>
        </w:tc>
        <w:tc>
          <w:tcPr>
            <w:tcW w:w="3653" w:type="dxa"/>
            <w:gridSpan w:val="2"/>
            <w:tcBorders>
              <w:top w:val="nil"/>
              <w:left w:val="nil"/>
              <w:bottom w:val="single" w:color="auto" w:sz="4" w:space="0"/>
              <w:right w:val="single" w:color="000000" w:sz="8"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本年增/减</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行政事业性收费</w:t>
            </w:r>
          </w:p>
        </w:tc>
        <w:tc>
          <w:tcPr>
            <w:tcW w:w="3652"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color w:val="000000"/>
                <w:kern w:val="0"/>
                <w:sz w:val="20"/>
                <w:szCs w:val="20"/>
                <w:lang w:val="en-US" w:eastAsia="zh-CN"/>
              </w:rPr>
              <w:t>0</w:t>
            </w:r>
          </w:p>
        </w:tc>
        <w:tc>
          <w:tcPr>
            <w:tcW w:w="3653"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jc w:val="center"/>
              <w:rPr>
                <w:rFonts w:hint="eastAsia" w:ascii="宋体" w:hAnsi="宋体" w:cs="宋体"/>
                <w:kern w:val="0"/>
                <w:sz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69" w:hRule="atLeast"/>
          <w:jc w:val="center"/>
        </w:trPr>
        <w:tc>
          <w:tcPr>
            <w:tcW w:w="9740" w:type="dxa"/>
            <w:gridSpan w:val="5"/>
            <w:tcBorders>
              <w:top w:val="single" w:color="auto" w:sz="4" w:space="0"/>
              <w:left w:val="single" w:color="auto" w:sz="4" w:space="0"/>
              <w:bottom w:val="single" w:color="auto" w:sz="4" w:space="0"/>
              <w:right w:val="single" w:color="auto" w:sz="4" w:space="0"/>
            </w:tcBorders>
            <w:shd w:val="clear" w:color="auto" w:fill="BDD6EE" w:themeFill="accent1" w:themeFillTint="66"/>
            <w:noWrap w:val="0"/>
            <w:tcMar>
              <w:top w:w="0" w:type="dxa"/>
              <w:left w:w="57" w:type="dxa"/>
              <w:bottom w:w="0" w:type="dxa"/>
              <w:right w:w="57" w:type="dxa"/>
            </w:tcMar>
            <w:vAlign w:val="center"/>
          </w:tcPr>
          <w:p>
            <w:pPr>
              <w:widowControl/>
              <w:jc w:val="center"/>
              <w:rPr>
                <w:rFonts w:hint="eastAsia" w:ascii="宋体" w:hAnsi="宋体" w:cs="宋体"/>
                <w:b/>
                <w:bCs/>
                <w:color w:val="000000"/>
                <w:kern w:val="0"/>
                <w:sz w:val="20"/>
                <w:szCs w:val="20"/>
                <w:lang w:val="en-US" w:eastAsia="zh-CN"/>
              </w:rPr>
            </w:pPr>
            <w:r>
              <w:rPr>
                <w:rFonts w:hint="eastAsia" w:ascii="宋体" w:hAnsi="宋体" w:cs="宋体"/>
                <w:b/>
                <w:bCs/>
                <w:color w:val="000000"/>
                <w:kern w:val="0"/>
                <w:sz w:val="20"/>
                <w:szCs w:val="20"/>
              </w:rPr>
              <w:t>第二十条第（</w:t>
            </w:r>
            <w:r>
              <w:rPr>
                <w:rFonts w:hint="eastAsia" w:ascii="宋体" w:hAnsi="宋体" w:cs="宋体"/>
                <w:b/>
                <w:bCs/>
                <w:color w:val="000000"/>
                <w:kern w:val="0"/>
                <w:sz w:val="20"/>
                <w:szCs w:val="20"/>
                <w:lang w:val="en-US" w:eastAsia="zh-CN"/>
              </w:rPr>
              <w:t>九</w:t>
            </w:r>
            <w:r>
              <w:rPr>
                <w:rFonts w:hint="eastAsia" w:ascii="宋体" w:hAnsi="宋体" w:cs="宋体"/>
                <w:b/>
                <w:bCs/>
                <w:color w:val="000000"/>
                <w:kern w:val="0"/>
                <w:sz w:val="20"/>
                <w:szCs w:val="20"/>
              </w:rPr>
              <w:t>）项</w:t>
            </w:r>
          </w:p>
        </w:tc>
      </w:tr>
      <w:tr>
        <w:tblPrEx>
          <w:tblCellMar>
            <w:top w:w="0" w:type="dxa"/>
            <w:left w:w="0" w:type="dxa"/>
            <w:bottom w:w="0" w:type="dxa"/>
            <w:right w:w="0" w:type="dxa"/>
          </w:tblCellMar>
        </w:tblPrEx>
        <w:trPr>
          <w:trHeight w:val="345" w:hRule="atLeast"/>
          <w:jc w:val="center"/>
        </w:trPr>
        <w:tc>
          <w:tcPr>
            <w:tcW w:w="243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信息内容</w:t>
            </w:r>
          </w:p>
        </w:tc>
        <w:tc>
          <w:tcPr>
            <w:tcW w:w="3652"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采购项目数量</w:t>
            </w:r>
          </w:p>
        </w:tc>
        <w:tc>
          <w:tcPr>
            <w:tcW w:w="3653"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采购总金额</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政府集中采购</w:t>
            </w:r>
          </w:p>
        </w:tc>
        <w:tc>
          <w:tcPr>
            <w:tcW w:w="3652"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3653"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top"/>
          </w:tcPr>
          <w:p>
            <w:pPr>
              <w:widowControl/>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4"/>
        <w:tblW w:w="9748" w:type="dxa"/>
        <w:jc w:val="center"/>
        <w:tblLayout w:type="autofit"/>
        <w:tblCellMar>
          <w:top w:w="0" w:type="dxa"/>
          <w:left w:w="0" w:type="dxa"/>
          <w:bottom w:w="0" w:type="dxa"/>
          <w:right w:w="0" w:type="dxa"/>
        </w:tblCellMar>
      </w:tblPr>
      <w:tblGrid>
        <w:gridCol w:w="761"/>
        <w:gridCol w:w="942"/>
        <w:gridCol w:w="3222"/>
        <w:gridCol w:w="689"/>
        <w:gridCol w:w="689"/>
        <w:gridCol w:w="689"/>
        <w:gridCol w:w="689"/>
        <w:gridCol w:w="689"/>
        <w:gridCol w:w="689"/>
        <w:gridCol w:w="689"/>
      </w:tblGrid>
      <w:tr>
        <w:tblPrEx>
          <w:tblCellMar>
            <w:top w:w="0" w:type="dxa"/>
            <w:left w:w="0" w:type="dxa"/>
            <w:bottom w:w="0" w:type="dxa"/>
            <w:right w:w="0" w:type="dxa"/>
          </w:tblCellMar>
        </w:tblPrEx>
        <w:trPr>
          <w:trHeight w:val="427" w:hRule="atLeast"/>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rPr>
            </w:pPr>
            <w:r>
              <w:rPr>
                <w:rFonts w:hint="eastAsia" w:ascii="楷体" w:hAnsi="楷体" w:eastAsia="楷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trHeight w:val="400" w:hRule="atLeast"/>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714"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自然人</w:t>
            </w:r>
          </w:p>
        </w:tc>
        <w:tc>
          <w:tcPr>
            <w:tcW w:w="357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法人或其他组织</w:t>
            </w:r>
          </w:p>
        </w:tc>
        <w:tc>
          <w:tcPr>
            <w:tcW w:w="714"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商业</w:t>
            </w:r>
          </w:p>
          <w:p>
            <w:pPr>
              <w:widowControl/>
              <w:jc w:val="center"/>
              <w:rPr>
                <w:rFonts w:ascii="宋体" w:hAnsi="宋体" w:cs="宋体"/>
                <w:kern w:val="0"/>
                <w:sz w:val="24"/>
              </w:rPr>
            </w:pPr>
            <w:r>
              <w:rPr>
                <w:rFonts w:hint="eastAsia" w:ascii="宋体" w:hAnsi="宋体" w:cs="宋体"/>
                <w:kern w:val="0"/>
                <w:sz w:val="20"/>
                <w:szCs w:val="20"/>
              </w:rPr>
              <w:t>企业</w:t>
            </w:r>
          </w:p>
        </w:tc>
        <w:tc>
          <w:tcPr>
            <w:tcW w:w="714"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科研</w:t>
            </w:r>
          </w:p>
          <w:p>
            <w:pPr>
              <w:widowControl/>
              <w:jc w:val="center"/>
              <w:rPr>
                <w:rFonts w:ascii="宋体" w:hAnsi="宋体" w:cs="宋体"/>
                <w:kern w:val="0"/>
                <w:sz w:val="24"/>
              </w:rPr>
            </w:pPr>
            <w:r>
              <w:rPr>
                <w:rFonts w:hint="eastAsia" w:ascii="宋体" w:hAnsi="宋体" w:cs="宋体"/>
                <w:kern w:val="0"/>
                <w:sz w:val="20"/>
                <w:szCs w:val="20"/>
              </w:rPr>
              <w:t>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社会公益组织</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法律服务机构</w:t>
            </w:r>
          </w:p>
        </w:tc>
        <w:tc>
          <w:tcPr>
            <w:tcW w:w="714"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kern w:val="0"/>
                <w:sz w:val="24"/>
                <w:lang w:val="en-US" w:eastAsia="zh-CN"/>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785" w:type="dxa"/>
            <w:vMerge w:val="restart"/>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717"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436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959"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rPr>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5.要求行政机关确认或重新出具已获取信息</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cs="宋体"/>
                <w:kern w:val="0"/>
                <w:sz w:val="24"/>
              </w:rPr>
            </w:pPr>
            <w:r>
              <w:rPr>
                <w:rFonts w:hint="eastAsia" w:ascii="Calibri" w:hAnsi="Calibri" w:cs="宋体"/>
                <w:kern w:val="0"/>
                <w:sz w:val="20"/>
                <w:szCs w:val="20"/>
                <w:lang w:val="en-US" w:eastAsia="zh-CN"/>
              </w:rPr>
              <w:t>0</w:t>
            </w:r>
          </w:p>
        </w:tc>
      </w:tr>
      <w:tr>
        <w:tblPrEx>
          <w:tblCellMar>
            <w:top w:w="0" w:type="dxa"/>
            <w:left w:w="0" w:type="dxa"/>
            <w:bottom w:w="0" w:type="dxa"/>
            <w:right w:w="0" w:type="dxa"/>
          </w:tblCellMar>
        </w:tblPrEx>
        <w:trPr>
          <w:trHeight w:val="1013"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959"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1014"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rPr>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38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rPr>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420"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rPr>
            </w:pPr>
          </w:p>
        </w:tc>
        <w:tc>
          <w:tcPr>
            <w:tcW w:w="4365" w:type="dxa"/>
            <w:gridSpan w:val="2"/>
            <w:tcBorders>
              <w:top w:val="nil"/>
              <w:left w:val="nil"/>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0" w:type="dxa"/>
            <w:bottom w:w="0" w:type="dxa"/>
            <w:right w:w="0" w:type="dxa"/>
          </w:tblCellMar>
        </w:tblPrEx>
        <w:trPr>
          <w:trHeight w:val="440" w:hRule="atLeast"/>
          <w:jc w:val="center"/>
        </w:trPr>
        <w:tc>
          <w:tcPr>
            <w:tcW w:w="5150" w:type="dxa"/>
            <w:gridSpan w:val="3"/>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rPr>
            </w:pPr>
            <w:r>
              <w:rPr>
                <w:rFonts w:ascii="Calibri" w:hAnsi="Calibri" w:cs="宋体"/>
                <w:kern w:val="0"/>
                <w:sz w:val="20"/>
                <w:szCs w:val="20"/>
              </w:rPr>
              <w:t> </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widowControl/>
        <w:shd w:val="clear" w:color="auto" w:fill="FFFFFF"/>
        <w:jc w:val="center"/>
        <w:rPr>
          <w:rFonts w:hint="eastAsia" w:ascii="宋体" w:hAnsi="宋体" w:cs="宋体"/>
          <w:color w:val="333333"/>
          <w:kern w:val="0"/>
          <w:sz w:val="24"/>
        </w:rPr>
      </w:pP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fill="FFFFFF"/>
        <w:jc w:val="center"/>
        <w:rPr>
          <w:rFonts w:hint="eastAsia" w:ascii="宋体" w:hAnsi="宋体" w:cs="宋体"/>
          <w:color w:val="333333"/>
          <w:kern w:val="0"/>
          <w:sz w:val="24"/>
        </w:rPr>
      </w:pP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both"/>
              <w:rPr>
                <w:rFonts w:hint="eastAsia" w:ascii="宋体" w:hAnsi="宋体" w:eastAsia="宋体" w:cs="宋体"/>
                <w:kern w:val="0"/>
                <w:sz w:val="24"/>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0"/>
                <w:szCs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r>
    </w:tbl>
    <w:p>
      <w:pPr>
        <w:widowControl/>
        <w:jc w:val="left"/>
        <w:rPr>
          <w:rFonts w:hint="eastAsia" w:ascii="宋体" w:hAnsi="宋体" w:cs="宋体"/>
          <w:kern w:val="0"/>
          <w:sz w:val="24"/>
        </w:rPr>
      </w:pPr>
      <w:r>
        <w:rPr>
          <w:rFonts w:hint="eastAsia" w:ascii="宋体" w:hAnsi="宋体" w:cs="宋体"/>
          <w:color w:val="333333"/>
          <w:kern w:val="0"/>
          <w:sz w:val="24"/>
        </w:rPr>
        <w:br w:type="textWrapping"/>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五、存在的主要问题及改进情况</w:t>
      </w:r>
    </w:p>
    <w:p>
      <w:pPr>
        <w:widowControl/>
        <w:shd w:val="clear" w:color="auto" w:fill="FFFFFF"/>
        <w:ind w:firstLine="480"/>
        <w:rPr>
          <w:rFonts w:hint="eastAsia" w:ascii="仿宋_GB2312" w:hAnsi="仿宋_GB2312" w:eastAsia="仿宋_GB2312" w:cs="仿宋_GB2312"/>
          <w:b w:val="0"/>
          <w:bCs w:val="0"/>
          <w:color w:val="333333"/>
          <w:kern w:val="0"/>
          <w:sz w:val="32"/>
          <w:szCs w:val="32"/>
          <w:lang w:val="en-US" w:eastAsia="zh-CN"/>
        </w:rPr>
      </w:pPr>
      <w:r>
        <w:rPr>
          <w:rFonts w:hint="eastAsia" w:ascii="楷体_GB2312" w:hAnsi="楷体_GB2312" w:eastAsia="楷体_GB2312" w:cs="楷体_GB2312"/>
          <w:b/>
          <w:bCs/>
          <w:color w:val="333333"/>
          <w:kern w:val="0"/>
          <w:sz w:val="32"/>
          <w:szCs w:val="32"/>
          <w:lang w:eastAsia="zh-CN"/>
        </w:rPr>
        <w:t>（</w:t>
      </w:r>
      <w:r>
        <w:rPr>
          <w:rFonts w:hint="eastAsia" w:ascii="楷体_GB2312" w:hAnsi="楷体_GB2312" w:eastAsia="楷体_GB2312" w:cs="楷体_GB2312"/>
          <w:b/>
          <w:bCs/>
          <w:color w:val="333333"/>
          <w:kern w:val="0"/>
          <w:sz w:val="32"/>
          <w:szCs w:val="32"/>
          <w:lang w:val="en-US" w:eastAsia="zh-CN"/>
        </w:rPr>
        <w:t>一</w:t>
      </w:r>
      <w:r>
        <w:rPr>
          <w:rFonts w:hint="eastAsia" w:ascii="楷体_GB2312" w:hAnsi="楷体_GB2312" w:eastAsia="楷体_GB2312" w:cs="楷体_GB2312"/>
          <w:b/>
          <w:bCs/>
          <w:color w:val="333333"/>
          <w:kern w:val="0"/>
          <w:sz w:val="32"/>
          <w:szCs w:val="32"/>
          <w:lang w:eastAsia="zh-CN"/>
        </w:rPr>
        <w:t>）</w:t>
      </w:r>
      <w:r>
        <w:rPr>
          <w:rFonts w:hint="eastAsia" w:ascii="楷体_GB2312" w:hAnsi="楷体_GB2312" w:eastAsia="楷体_GB2312" w:cs="楷体_GB2312"/>
          <w:b/>
          <w:bCs/>
          <w:color w:val="333333"/>
          <w:kern w:val="0"/>
          <w:sz w:val="32"/>
          <w:szCs w:val="32"/>
          <w:lang w:val="en-US" w:eastAsia="zh-CN"/>
        </w:rPr>
        <w:t>存在的主要问题。</w:t>
      </w:r>
      <w:r>
        <w:rPr>
          <w:rFonts w:hint="eastAsia" w:ascii="仿宋_GB2312" w:hAnsi="仿宋_GB2312" w:eastAsia="仿宋_GB2312" w:cs="仿宋_GB2312"/>
          <w:b w:val="0"/>
          <w:bCs w:val="0"/>
          <w:color w:val="333333"/>
          <w:kern w:val="0"/>
          <w:sz w:val="32"/>
          <w:szCs w:val="32"/>
          <w:lang w:val="en-US" w:eastAsia="zh-CN"/>
        </w:rPr>
        <w:t>因</w:t>
      </w:r>
      <w:r>
        <w:rPr>
          <w:rFonts w:hint="eastAsia" w:ascii="仿宋_GB2312" w:hAnsi="仿宋_GB2312" w:eastAsia="仿宋_GB2312" w:cs="仿宋_GB2312"/>
          <w:b w:val="0"/>
          <w:bCs w:val="0"/>
          <w:color w:val="333333"/>
          <w:kern w:val="0"/>
          <w:sz w:val="32"/>
          <w:szCs w:val="32"/>
          <w:lang w:val="en-US" w:eastAsia="zh-CN"/>
        </w:rPr>
        <w:t>人事变动过程中，存在政务动态更新工作交接不及时的问题。致使政务信息公开不够及时。</w:t>
      </w:r>
    </w:p>
    <w:p>
      <w:pPr>
        <w:widowControl/>
        <w:shd w:val="clear" w:color="auto" w:fill="FFFFFF"/>
        <w:ind w:firstLine="480"/>
        <w:rPr>
          <w:rFonts w:hint="eastAsia" w:ascii="楷体_GB2312" w:hAnsi="楷体_GB2312" w:eastAsia="楷体_GB2312" w:cs="楷体_GB2312"/>
          <w:b/>
          <w:bCs/>
          <w:color w:val="333333"/>
          <w:kern w:val="0"/>
          <w:sz w:val="32"/>
          <w:szCs w:val="32"/>
          <w:lang w:val="en-US" w:eastAsia="zh-CN"/>
        </w:rPr>
      </w:pPr>
      <w:r>
        <w:rPr>
          <w:rFonts w:hint="eastAsia" w:ascii="楷体_GB2312" w:hAnsi="楷体_GB2312" w:eastAsia="楷体_GB2312" w:cs="楷体_GB2312"/>
          <w:b/>
          <w:bCs/>
          <w:color w:val="333333"/>
          <w:kern w:val="0"/>
          <w:sz w:val="32"/>
          <w:szCs w:val="32"/>
          <w:lang w:val="en-US" w:eastAsia="zh-CN"/>
        </w:rPr>
        <w:t>（二）存在问题的改进情况。</w:t>
      </w:r>
    </w:p>
    <w:p>
      <w:pPr>
        <w:widowControl/>
        <w:shd w:val="clear" w:color="auto" w:fill="FFFFFF"/>
        <w:ind w:firstLine="48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一是压实工作责任。</w:t>
      </w:r>
      <w:r>
        <w:rPr>
          <w:rFonts w:hint="eastAsia" w:ascii="仿宋_GB2312" w:hAnsi="仿宋_GB2312" w:eastAsia="仿宋_GB2312" w:cs="仿宋_GB2312"/>
          <w:b w:val="0"/>
          <w:bCs w:val="0"/>
          <w:color w:val="333333"/>
          <w:kern w:val="0"/>
          <w:sz w:val="32"/>
          <w:szCs w:val="32"/>
          <w:lang w:val="en-US" w:eastAsia="zh-CN"/>
        </w:rPr>
        <w:t>明确责任，</w:t>
      </w:r>
      <w:r>
        <w:rPr>
          <w:rFonts w:hint="eastAsia" w:ascii="仿宋_GB2312" w:hAnsi="仿宋_GB2312" w:eastAsia="仿宋_GB2312" w:cs="仿宋_GB2312"/>
          <w:b w:val="0"/>
          <w:bCs w:val="0"/>
          <w:color w:val="333333"/>
          <w:kern w:val="0"/>
          <w:sz w:val="32"/>
          <w:szCs w:val="32"/>
          <w:lang w:val="en-US" w:eastAsia="zh-CN"/>
        </w:rPr>
        <w:t>确保了人事变动后</w:t>
      </w:r>
      <w:r>
        <w:rPr>
          <w:rFonts w:hint="eastAsia" w:ascii="仿宋_GB2312" w:hAnsi="仿宋_GB2312" w:eastAsia="仿宋_GB2312" w:cs="仿宋_GB2312"/>
          <w:b w:val="0"/>
          <w:bCs w:val="0"/>
          <w:color w:val="333333"/>
          <w:kern w:val="0"/>
          <w:sz w:val="32"/>
          <w:szCs w:val="32"/>
          <w:lang w:val="en-US" w:eastAsia="zh-CN"/>
        </w:rPr>
        <w:t>政府信息公开工作有人管、有人做、做得好。</w:t>
      </w:r>
      <w:r>
        <w:rPr>
          <w:rFonts w:hint="eastAsia" w:ascii="仿宋_GB2312" w:hAnsi="仿宋_GB2312" w:eastAsia="仿宋_GB2312" w:cs="仿宋_GB2312"/>
          <w:b/>
          <w:bCs/>
          <w:color w:val="333333"/>
          <w:kern w:val="0"/>
          <w:sz w:val="32"/>
          <w:szCs w:val="32"/>
          <w:lang w:val="en-US" w:eastAsia="zh-CN"/>
        </w:rPr>
        <w:t>二是强化内容保障。</w:t>
      </w:r>
      <w:r>
        <w:rPr>
          <w:rFonts w:hint="eastAsia" w:ascii="仿宋_GB2312" w:hAnsi="仿宋_GB2312" w:eastAsia="仿宋_GB2312" w:cs="仿宋_GB2312"/>
          <w:b w:val="0"/>
          <w:bCs w:val="0"/>
          <w:color w:val="333333"/>
          <w:kern w:val="0"/>
          <w:sz w:val="32"/>
          <w:szCs w:val="32"/>
          <w:lang w:val="en-US" w:eastAsia="zh-CN"/>
        </w:rPr>
        <w:t>加大政府信息主动公开力度，及时、主动公开政府信息。</w:t>
      </w:r>
      <w:r>
        <w:rPr>
          <w:rFonts w:hint="eastAsia" w:ascii="仿宋_GB2312" w:hAnsi="仿宋_GB2312" w:eastAsia="仿宋_GB2312" w:cs="仿宋_GB2312"/>
          <w:b/>
          <w:bCs/>
          <w:color w:val="333333"/>
          <w:kern w:val="0"/>
          <w:sz w:val="32"/>
          <w:szCs w:val="32"/>
          <w:lang w:val="en-US" w:eastAsia="zh-CN"/>
        </w:rPr>
        <w:t>三是加强业务学习。</w:t>
      </w:r>
      <w:r>
        <w:rPr>
          <w:rFonts w:hint="eastAsia" w:ascii="仿宋_GB2312" w:hAnsi="仿宋_GB2312" w:eastAsia="仿宋_GB2312" w:cs="仿宋_GB2312"/>
          <w:b w:val="0"/>
          <w:bCs w:val="0"/>
          <w:color w:val="333333"/>
          <w:kern w:val="0"/>
          <w:sz w:val="32"/>
          <w:szCs w:val="32"/>
          <w:lang w:val="en-US" w:eastAsia="zh-CN"/>
        </w:rPr>
        <w:t>在办公室所有工作人员中集中进行政务公开工作内容培训，</w:t>
      </w:r>
      <w:r>
        <w:rPr>
          <w:rFonts w:hint="eastAsia" w:ascii="仿宋_GB2312" w:hAnsi="仿宋_GB2312" w:eastAsia="仿宋_GB2312" w:cs="仿宋_GB2312"/>
          <w:b w:val="0"/>
          <w:bCs w:val="0"/>
          <w:color w:val="333333"/>
          <w:kern w:val="0"/>
          <w:sz w:val="32"/>
          <w:szCs w:val="32"/>
          <w:lang w:val="en-US" w:eastAsia="zh-CN"/>
        </w:rPr>
        <w:t>认真学习市县培训会议精神和上级制度文件汇编，</w:t>
      </w:r>
      <w:r>
        <w:rPr>
          <w:rFonts w:hint="eastAsia" w:ascii="仿宋_GB2312" w:hAnsi="仿宋_GB2312" w:eastAsia="仿宋_GB2312" w:cs="仿宋_GB2312"/>
          <w:b w:val="0"/>
          <w:bCs w:val="0"/>
          <w:color w:val="333333"/>
          <w:kern w:val="0"/>
          <w:sz w:val="32"/>
          <w:szCs w:val="32"/>
          <w:lang w:val="en-US" w:eastAsia="zh-CN"/>
        </w:rPr>
        <w:t>提高整体工作人员业务技能。</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both"/>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widowControl/>
        <w:shd w:val="clear" w:color="auto" w:fill="FFFFFF"/>
        <w:ind w:firstLine="480"/>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B3BAB"/>
    <w:rsid w:val="10B25ABD"/>
    <w:rsid w:val="12025EDB"/>
    <w:rsid w:val="189A4FC5"/>
    <w:rsid w:val="20300081"/>
    <w:rsid w:val="21BB2196"/>
    <w:rsid w:val="25A46228"/>
    <w:rsid w:val="39AD598D"/>
    <w:rsid w:val="4BA42B3D"/>
    <w:rsid w:val="4F914623"/>
    <w:rsid w:val="53AE23F2"/>
    <w:rsid w:val="5E3B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2022-01-20T01:26:00Z</dcterms:created>
  <dc:creator>M.W.l.F</dc:creator>
  <cp:lastModifiedBy>chengbao</cp:lastModifiedBy>
  <cp:lastPrinted>2022-01-21T01:57:00Z</cp:lastPrinted>
  <dcterms:modified xsi:type="dcterms:W3CDTF">2022-01-25T08:00:18Z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A001D11A19A1446FB0D376F6B783291F</vt:lpwstr>
  </property>
</Properties>
</file>