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3" w:firstLineChars="200"/>
        <w:jc w:val="center"/>
        <w:rPr>
          <w:rFonts w:hint="eastAsia"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  <w:lang w:eastAsia="zh-CN"/>
        </w:rPr>
        <w:t>于都县农机局</w:t>
      </w:r>
      <w:r>
        <w:rPr>
          <w:rFonts w:hint="eastAsia" w:ascii="黑体" w:hAnsi="黑体" w:eastAsia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color w:val="000000"/>
          <w:sz w:val="44"/>
          <w:szCs w:val="44"/>
        </w:rPr>
        <w:t>年部门预算</w:t>
      </w:r>
    </w:p>
    <w:p>
      <w:pPr>
        <w:jc w:val="center"/>
        <w:rPr>
          <w:rFonts w:hint="eastAsia"/>
          <w:color w:val="000000"/>
        </w:rPr>
      </w:pPr>
    </w:p>
    <w:p>
      <w:pPr>
        <w:spacing w:line="240" w:lineRule="auto"/>
        <w:jc w:val="center"/>
        <w:rPr>
          <w:rFonts w:hint="default" w:ascii="Calibri" w:eastAsia="宋体"/>
          <w:b/>
          <w:bCs/>
          <w:color w:val="auto"/>
          <w:sz w:val="44"/>
          <w:szCs w:val="44"/>
        </w:rPr>
      </w:pPr>
      <w:r>
        <w:rPr>
          <w:rFonts w:hint="default" w:ascii="Calibri" w:eastAsia="宋体"/>
          <w:b/>
          <w:bCs/>
          <w:color w:val="auto"/>
          <w:sz w:val="44"/>
          <w:szCs w:val="44"/>
        </w:rPr>
        <w:t>目    录</w:t>
      </w:r>
    </w:p>
    <w:p>
      <w:pPr>
        <w:rPr>
          <w:rFonts w:hint="eastAsia"/>
          <w:color w:val="00000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第一部分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0"/>
        </w:rPr>
        <w:t xml:space="preserve">  </w:t>
      </w:r>
      <w:r>
        <w:rPr>
          <w:rFonts w:hint="eastAsia" w:ascii="楷体_GB2312" w:eastAsia="楷体_GB2312"/>
          <w:color w:val="000000"/>
          <w:sz w:val="32"/>
          <w:szCs w:val="30"/>
        </w:rPr>
        <w:t>一、部门主要职责</w:t>
      </w:r>
    </w:p>
    <w:p>
      <w:pPr>
        <w:widowControl/>
        <w:spacing w:line="600" w:lineRule="exact"/>
        <w:ind w:firstLine="640"/>
        <w:jc w:val="left"/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  <w:t xml:space="preserve">    二、部门基本情况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年部门预算情况说明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一、202</w:t>
      </w:r>
      <w:r>
        <w:rPr>
          <w:rFonts w:hint="eastAsia" w:ascii="楷体_GB2312" w:eastAsia="楷体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32"/>
          <w:szCs w:val="30"/>
        </w:rPr>
        <w:t>年部门预算收支情况说明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  <w:t xml:space="preserve">    二、</w:t>
      </w:r>
      <w:r>
        <w:rPr>
          <w:rFonts w:hint="eastAsia" w:ascii="楷体_GB2312" w:eastAsia="楷体_GB2312"/>
          <w:color w:val="000000"/>
          <w:sz w:val="32"/>
          <w:szCs w:val="30"/>
        </w:rPr>
        <w:t>202</w:t>
      </w:r>
      <w:r>
        <w:rPr>
          <w:rFonts w:hint="eastAsia" w:ascii="楷体_GB2312" w:eastAsia="楷体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32"/>
          <w:szCs w:val="30"/>
        </w:rPr>
        <w:t>年“三公”经费预算情况说明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第三部分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年部门预算表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一、《收支预算总表》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二、《部门收入总表》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三、《部门支出总表》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四、《财政拨款收支总表》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五、《一般公共预算支出表》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六、《一般公共预算基本支出表》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七、《一般公共预算“三公”经费支出表》</w:t>
      </w:r>
    </w:p>
    <w:p>
      <w:pPr>
        <w:widowControl/>
        <w:spacing w:line="600" w:lineRule="exact"/>
        <w:ind w:firstLine="1280" w:firstLineChars="400"/>
        <w:jc w:val="left"/>
        <w:rPr>
          <w:rFonts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八、《政府性基金预算支出表》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九、《部门整体支出绩效目标表》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  <w:lang w:eastAsia="zh-CN"/>
        </w:rPr>
        <w:t>十、</w:t>
      </w:r>
      <w:r>
        <w:rPr>
          <w:rFonts w:hint="eastAsia" w:ascii="楷体_GB2312" w:eastAsia="楷体_GB2312"/>
          <w:color w:val="000000"/>
          <w:sz w:val="32"/>
          <w:szCs w:val="30"/>
        </w:rPr>
        <w:t>《项目绩效目标表》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第四部分  名词解释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第一部分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eastAsia="楷体_GB2312"/>
          <w:b/>
          <w:color w:val="000000"/>
          <w:sz w:val="32"/>
          <w:szCs w:val="30"/>
        </w:rPr>
        <w:t>一、部门主要职责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于都县农机局是主管农机事业发展工作的政府组成部门，主要职责是：</w:t>
      </w:r>
    </w:p>
    <w:p>
      <w:pPr>
        <w:spacing w:line="570" w:lineRule="exact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于都县农业机械管理局是主管农业机械化工作的县政府组成部门，主要职责是：贯彻执行国家有关农业机械化的方针政策和法律法规；负责全县农业机械化服务体系建设，指导开展农业机械社会化服务；负责拟订全县农业机械化、设施农业工程的中长期发展规划、年度计划及重大技术措施并组织实施；负责全县农业机械技术推广、农机购置补贴和教育培训，制定全县农机作业技术规范，并监督实施；负责全县农业机械维修的行业管理和农业机械作业质量的监督管理；负责全县拖拉机（含变型拖拉机）、联合收割机等农业机械的安全监督管理；负责全县农机产品质量投诉。指导乡（镇）农业机械化推广和农机安全监理业务工作；承办县人民政府交办的其他事项。</w:t>
      </w:r>
    </w:p>
    <w:p>
      <w:pPr>
        <w:widowControl/>
        <w:spacing w:line="600" w:lineRule="exact"/>
        <w:ind w:firstLine="640"/>
        <w:jc w:val="left"/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  <w:t>二、部门基本情况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纳入本套部门预算汇编范围的单位共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个。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包括人秘股、推广股、管理股和农机校；编制20人；其中：全额事业编制20人。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本部门20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年年末实有人数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人，其中在职人员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人，离休人员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人，退休人员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人。</w:t>
      </w: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年部门预算情况说明</w:t>
      </w: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3" w:firstLineChars="20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eastAsia="楷体_GB2312"/>
          <w:b/>
          <w:color w:val="000000"/>
          <w:sz w:val="32"/>
          <w:szCs w:val="30"/>
        </w:rPr>
        <w:t>一、202</w:t>
      </w:r>
      <w:r>
        <w:rPr>
          <w:rFonts w:hint="eastAsia" w:ascii="楷体_GB2312" w:eastAsia="楷体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年部门预算收支情况说明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（一）收入预算情况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2021年</w:t>
      </w:r>
      <w:r>
        <w:rPr>
          <w:rFonts w:hint="eastAsia" w:ascii="仿宋_GB2312" w:eastAsia="仿宋_GB2312"/>
          <w:color w:val="000000"/>
          <w:sz w:val="32"/>
          <w:szCs w:val="30"/>
        </w:rPr>
        <w:t>于都县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农机局收入预算总额为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106.21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万元，较上年减少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51.42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万元，其中：一般公共预算拨款收入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100.78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万元，较上年预算安排减少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55.29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万元；政府性基金预算拨款收入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万元，较上年预算安排增加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万元；事业收入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万元，较上年预算安排增加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万元；上年结转（结余）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5.43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万元，较上年预算安排增加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3.87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（二）支出预算情况</w:t>
      </w:r>
    </w:p>
    <w:p>
      <w:pPr>
        <w:widowControl/>
        <w:spacing w:line="580" w:lineRule="exact"/>
        <w:ind w:firstLine="640"/>
        <w:jc w:val="left"/>
        <w:rPr>
          <w:rFonts w:hint="eastAsia" w:ascii="仿宋_GB2312" w:eastAsia="仿宋_GB2312"/>
          <w:sz w:val="32"/>
          <w:szCs w:val="30"/>
          <w:lang w:eastAsia="zh-CN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0"/>
        </w:rPr>
        <w:t>于都县</w:t>
      </w:r>
      <w:r>
        <w:rPr>
          <w:rFonts w:hint="eastAsia" w:ascii="仿宋_GB2312" w:eastAsia="仿宋_GB2312"/>
          <w:sz w:val="32"/>
          <w:szCs w:val="30"/>
          <w:lang w:eastAsia="zh-CN"/>
        </w:rPr>
        <w:t>农机局支出预算总额为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106.21</w:t>
      </w:r>
      <w:r>
        <w:rPr>
          <w:rFonts w:hint="eastAsia" w:ascii="仿宋_GB2312" w:eastAsia="仿宋_GB2312"/>
          <w:sz w:val="32"/>
          <w:szCs w:val="30"/>
          <w:lang w:eastAsia="zh-CN"/>
        </w:rPr>
        <w:t>万元，其中：</w:t>
      </w:r>
    </w:p>
    <w:p>
      <w:pPr>
        <w:spacing w:line="570" w:lineRule="exact"/>
        <w:ind w:firstLine="640" w:firstLineChars="200"/>
        <w:rPr>
          <w:rFonts w:hint="eastAsia" w:ascii="仿宋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_GB2312" w:cs="仿宋_GB2312"/>
          <w:sz w:val="32"/>
          <w:szCs w:val="32"/>
        </w:rPr>
        <w:t>按支出项目类别划分：基本支出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106.21</w:t>
      </w:r>
      <w:r>
        <w:rPr>
          <w:rFonts w:hint="eastAsia" w:ascii="仿宋" w:hAnsi="仿宋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51.42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" w:hAnsi="仿宋" w:eastAsia="仿宋_GB2312" w:cs="仿宋_GB2312"/>
          <w:sz w:val="32"/>
          <w:szCs w:val="32"/>
        </w:rPr>
        <w:t>，包括工资福利支出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92.54</w:t>
      </w:r>
      <w:r>
        <w:rPr>
          <w:rFonts w:hint="eastAsia" w:ascii="仿宋" w:hAnsi="仿宋" w:eastAsia="仿宋_GB2312" w:cs="仿宋_GB2312"/>
          <w:sz w:val="32"/>
          <w:szCs w:val="32"/>
        </w:rPr>
        <w:t>万元、商品和服务支出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11.81</w:t>
      </w:r>
      <w:r>
        <w:rPr>
          <w:rFonts w:hint="eastAsia" w:ascii="仿宋" w:hAnsi="仿宋" w:eastAsia="仿宋_GB2312" w:cs="仿宋_GB2312"/>
          <w:sz w:val="32"/>
          <w:szCs w:val="32"/>
        </w:rPr>
        <w:t>万元、对个人和家庭的补助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1.86</w:t>
      </w:r>
      <w:r>
        <w:rPr>
          <w:rFonts w:hint="eastAsia" w:ascii="仿宋" w:hAnsi="仿宋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0"/>
          <w:lang w:eastAsia="zh-CN"/>
        </w:rPr>
        <w:t>；</w:t>
      </w:r>
      <w:r>
        <w:rPr>
          <w:rFonts w:hint="eastAsia" w:ascii="仿宋" w:hAnsi="仿宋" w:eastAsia="仿宋_GB2312" w:cs="仿宋_GB2312"/>
          <w:sz w:val="32"/>
          <w:szCs w:val="32"/>
        </w:rPr>
        <w:t>项目支出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hint="eastAsia" w:ascii="仿宋" w:hAnsi="仿宋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较上年预算安排增加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" w:hAnsi="仿宋" w:eastAsia="仿宋_GB2312" w:cs="仿宋_GB2312"/>
          <w:sz w:val="32"/>
          <w:szCs w:val="32"/>
        </w:rPr>
        <w:t>，包括工资福利支出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hint="eastAsia" w:ascii="仿宋" w:hAnsi="仿宋" w:eastAsia="仿宋_GB2312" w:cs="仿宋_GB2312"/>
          <w:sz w:val="32"/>
          <w:szCs w:val="32"/>
        </w:rPr>
        <w:t>万元、商品和服务支出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hint="eastAsia" w:ascii="仿宋" w:hAnsi="仿宋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_GB2312" w:cs="仿宋_GB2312"/>
          <w:sz w:val="32"/>
          <w:szCs w:val="32"/>
          <w:lang w:eastAsia="zh-CN"/>
        </w:rPr>
        <w:t>。</w:t>
      </w:r>
    </w:p>
    <w:p>
      <w:pPr>
        <w:spacing w:line="570" w:lineRule="exact"/>
        <w:ind w:right="118" w:rightChars="56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按支出功能科目划分：一般公共服务支出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106.21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51.42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10.78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5.6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；住房保障支出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7.66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4.92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；。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按支出经济分类划分：工资福利支出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92.54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46.86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hAnsi="仿宋" w:eastAsia="仿宋_GB2312"/>
          <w:bCs/>
          <w:sz w:val="32"/>
          <w:szCs w:val="32"/>
        </w:rPr>
        <w:t>；商品和服务支出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11.81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4.73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hAnsi="仿宋" w:eastAsia="仿宋_GB2312"/>
          <w:bCs/>
          <w:sz w:val="32"/>
          <w:szCs w:val="32"/>
        </w:rPr>
        <w:t>；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对个人和家庭的补助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1.86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较上年预算安排增加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0.17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.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（三）财政拨款支出情况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0"/>
        </w:rPr>
        <w:t>于都县</w:t>
      </w:r>
      <w:r>
        <w:rPr>
          <w:rFonts w:hint="eastAsia" w:ascii="仿宋_GB2312" w:eastAsia="仿宋_GB2312"/>
          <w:sz w:val="32"/>
          <w:szCs w:val="30"/>
          <w:lang w:eastAsia="zh-CN"/>
        </w:rPr>
        <w:t>农机局财政拨款支出预算总额为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100.78</w:t>
      </w:r>
      <w:r>
        <w:rPr>
          <w:rFonts w:hint="eastAsia" w:ascii="仿宋_GB2312" w:eastAsia="仿宋_GB2312"/>
          <w:sz w:val="32"/>
          <w:szCs w:val="30"/>
          <w:lang w:eastAsia="zh-CN"/>
        </w:rPr>
        <w:t>万元，较上年预算安排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55.29</w:t>
      </w:r>
      <w:r>
        <w:rPr>
          <w:rFonts w:hint="eastAsia" w:ascii="仿宋_GB2312" w:eastAsia="仿宋_GB2312"/>
          <w:sz w:val="32"/>
          <w:szCs w:val="30"/>
          <w:lang w:eastAsia="zh-CN"/>
        </w:rPr>
        <w:t>万元，</w:t>
      </w:r>
      <w:r>
        <w:rPr>
          <w:rFonts w:hint="eastAsia" w:ascii="仿宋" w:hAnsi="仿宋" w:eastAsia="仿宋_GB2312" w:cs="仿宋_GB2312"/>
          <w:spacing w:val="-4"/>
          <w:sz w:val="32"/>
          <w:szCs w:val="32"/>
        </w:rPr>
        <w:t>具体为：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按支出功能科目划分：</w:t>
      </w:r>
      <w:r>
        <w:rPr>
          <w:rFonts w:hint="eastAsia" w:ascii="仿宋" w:hAnsi="仿宋" w:eastAsia="仿宋_GB2312" w:cs="仿宋_GB2312"/>
          <w:spacing w:val="-4"/>
          <w:sz w:val="32"/>
          <w:szCs w:val="32"/>
        </w:rPr>
        <w:t>一般公共服务支出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100.78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55.29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" w:hAnsi="仿宋" w:eastAsia="仿宋_GB2312" w:cs="仿宋_GB2312"/>
          <w:spacing w:val="-4"/>
          <w:sz w:val="32"/>
          <w:szCs w:val="32"/>
        </w:rPr>
        <w:t>；</w:t>
      </w:r>
      <w:r>
        <w:rPr>
          <w:rFonts w:hint="eastAsia" w:ascii="仿宋_GB2312" w:hAnsi="仿宋" w:eastAsia="仿宋_GB2312"/>
          <w:bCs/>
          <w:sz w:val="32"/>
          <w:szCs w:val="32"/>
        </w:rPr>
        <w:t>主要原因是在职人数比上年减少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  <w:r>
        <w:rPr>
          <w:rFonts w:hint="eastAsia" w:ascii="仿宋" w:hAnsi="仿宋" w:eastAsia="仿宋_GB2312" w:cs="仿宋_GB2312"/>
          <w:spacing w:val="-4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10.78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5.6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" w:hAnsi="仿宋" w:eastAsia="仿宋_GB2312" w:cs="仿宋_GB2312"/>
          <w:spacing w:val="-4"/>
          <w:sz w:val="32"/>
          <w:szCs w:val="32"/>
        </w:rPr>
        <w:t>；住房保障支出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7.66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4.92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" w:hAnsi="仿宋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按支出经济分类划分：工资福利支出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92.54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46.86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hAnsi="仿宋" w:eastAsia="仿宋_GB2312"/>
          <w:bCs/>
          <w:sz w:val="32"/>
          <w:szCs w:val="32"/>
        </w:rPr>
        <w:t>；商品和服务支出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6.38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4.73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hAnsi="仿宋" w:eastAsia="仿宋_GB2312"/>
          <w:bCs/>
          <w:sz w:val="32"/>
          <w:szCs w:val="32"/>
        </w:rPr>
        <w:t>；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对个人和家庭的补助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1.86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0"/>
          <w:lang w:eastAsia="zh-CN"/>
        </w:rPr>
        <w:t>较上年预算安排增加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0.17</w:t>
      </w:r>
      <w:r>
        <w:rPr>
          <w:rFonts w:hint="eastAsia" w:ascii="仿宋_GB2312" w:eastAsia="仿宋_GB2312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.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（四）政府性基金情况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我局没有使用政府性基金预算拨款安排的支出。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（五）机关运行经费等重要事项的说明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</w:rPr>
        <w:t>年部门机关运行费预算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0"/>
          <w:u w:val="single"/>
          <w:lang w:val="en-US" w:eastAsia="zh-CN"/>
        </w:rPr>
        <w:t>11.81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0"/>
        </w:rPr>
        <w:t>万元，比20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0"/>
        </w:rPr>
        <w:t>年预算减少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0"/>
          <w:u w:val="single"/>
          <w:lang w:val="en-US" w:eastAsia="zh-CN"/>
        </w:rPr>
        <w:t>4.73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0"/>
        </w:rPr>
        <w:t>万元，下降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0"/>
          <w:u w:val="single"/>
          <w:lang w:val="en-US" w:eastAsia="zh-CN"/>
        </w:rPr>
        <w:t>28.6</w:t>
      </w:r>
      <w:r>
        <w:rPr>
          <w:rFonts w:hint="eastAsia" w:ascii="仿宋_GB2312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0"/>
        </w:rPr>
        <w:t>%。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公用经费支出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11.81</w:t>
      </w:r>
      <w:r>
        <w:rPr>
          <w:rFonts w:hint="eastAsia" w:ascii="仿宋_GB2312" w:eastAsia="仿宋_GB2312"/>
          <w:sz w:val="32"/>
          <w:szCs w:val="30"/>
        </w:rPr>
        <w:t>万元：包括办公费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0.9</w:t>
      </w:r>
      <w:r>
        <w:rPr>
          <w:rFonts w:hint="eastAsia" w:ascii="仿宋_GB2312" w:eastAsia="仿宋_GB2312"/>
          <w:sz w:val="32"/>
          <w:szCs w:val="30"/>
        </w:rPr>
        <w:t>万元、印刷费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ascii="仿宋_GB2312" w:eastAsia="仿宋_GB2312"/>
          <w:sz w:val="32"/>
          <w:szCs w:val="30"/>
          <w:highlight w:val="none"/>
        </w:rPr>
        <w:t>、水费</w:t>
      </w:r>
      <w:r>
        <w:rPr>
          <w:rFonts w:hint="eastAsia" w:ascii="仿宋_GB2312" w:eastAsia="仿宋_GB2312"/>
          <w:sz w:val="32"/>
          <w:szCs w:val="30"/>
          <w:highlight w:val="none"/>
          <w:lang w:val="en-US" w:eastAsia="zh-CN"/>
        </w:rPr>
        <w:t>0.04</w:t>
      </w:r>
      <w:r>
        <w:rPr>
          <w:rFonts w:hint="eastAsia" w:ascii="仿宋_GB2312" w:eastAsia="仿宋_GB2312"/>
          <w:sz w:val="32"/>
          <w:szCs w:val="30"/>
          <w:highlight w:val="none"/>
        </w:rPr>
        <w:t>万元、电费</w:t>
      </w:r>
      <w:r>
        <w:rPr>
          <w:rFonts w:hint="eastAsia" w:ascii="仿宋_GB2312" w:eastAsia="仿宋_GB2312"/>
          <w:sz w:val="32"/>
          <w:szCs w:val="30"/>
          <w:highlight w:val="none"/>
          <w:lang w:val="en-US" w:eastAsia="zh-CN"/>
        </w:rPr>
        <w:t>0.6</w:t>
      </w:r>
      <w:r>
        <w:rPr>
          <w:rFonts w:hint="eastAsia" w:ascii="仿宋_GB2312" w:eastAsia="仿宋_GB2312"/>
          <w:sz w:val="32"/>
          <w:szCs w:val="30"/>
          <w:highlight w:val="none"/>
        </w:rPr>
        <w:t>万元、邮</w:t>
      </w:r>
      <w:r>
        <w:rPr>
          <w:rFonts w:hint="eastAsia" w:ascii="仿宋_GB2312" w:eastAsia="仿宋_GB2312"/>
          <w:sz w:val="32"/>
          <w:szCs w:val="30"/>
        </w:rPr>
        <w:t>电费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0.9</w:t>
      </w:r>
      <w:r>
        <w:rPr>
          <w:rFonts w:hint="eastAsia" w:ascii="仿宋_GB2312" w:eastAsia="仿宋_GB2312"/>
          <w:sz w:val="32"/>
          <w:szCs w:val="30"/>
        </w:rPr>
        <w:t>万元、差旅费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5.26</w:t>
      </w:r>
      <w:r>
        <w:rPr>
          <w:rFonts w:hint="eastAsia" w:ascii="仿宋_GB2312" w:eastAsia="仿宋_GB2312"/>
          <w:sz w:val="32"/>
          <w:szCs w:val="30"/>
        </w:rPr>
        <w:t>万元、会议费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0"/>
        </w:rPr>
        <w:t>万元、培训费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0"/>
        </w:rPr>
        <w:t>万元、公务接待费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2.03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ascii="仿宋_GB2312" w:eastAsia="仿宋_GB2312"/>
          <w:sz w:val="32"/>
          <w:szCs w:val="30"/>
          <w:lang w:eastAsia="zh-CN"/>
        </w:rPr>
        <w:t>、福利费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1.38万元</w:t>
      </w:r>
      <w:r>
        <w:rPr>
          <w:rFonts w:hint="eastAsia" w:ascii="仿宋_GB2312" w:eastAsia="仿宋_GB2312"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sz w:val="32"/>
          <w:szCs w:val="30"/>
        </w:rPr>
        <w:t>较上年预算减少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4.73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ascii="仿宋_GB2312" w:eastAsia="仿宋_GB2312"/>
          <w:sz w:val="32"/>
          <w:szCs w:val="30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0"/>
          <w:lang w:eastAsia="zh-CN"/>
        </w:rPr>
        <w:t>本局</w:t>
      </w:r>
      <w:r>
        <w:rPr>
          <w:rFonts w:hint="eastAsia" w:ascii="仿宋_GB2312" w:eastAsia="仿宋_GB2312"/>
          <w:b w:val="0"/>
          <w:bCs/>
          <w:color w:val="000000"/>
          <w:sz w:val="32"/>
          <w:szCs w:val="30"/>
          <w:lang w:val="en-US" w:eastAsia="zh-CN"/>
        </w:rPr>
        <w:t>2021年没有政府采购预算。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（七）国有资产占有使用情况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截止2020年12月31日，本部门没有车辆。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  <w:t>二、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202</w:t>
      </w:r>
      <w:r>
        <w:rPr>
          <w:rFonts w:hint="eastAsia" w:ascii="楷体_GB2312" w:eastAsia="楷体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年“三公</w:t>
      </w:r>
      <w:r>
        <w:rPr>
          <w:rFonts w:ascii="楷体_GB2312" w:eastAsia="楷体_GB2312"/>
          <w:b/>
          <w:color w:val="000000"/>
          <w:sz w:val="32"/>
          <w:szCs w:val="30"/>
        </w:rPr>
        <w:t>”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</w:rPr>
        <w:t>年</w:t>
      </w:r>
      <w:r>
        <w:rPr>
          <w:rFonts w:hint="eastAsia" w:ascii="仿宋_GB2312" w:eastAsia="仿宋_GB2312"/>
          <w:b w:val="0"/>
          <w:bCs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color w:val="000000"/>
          <w:sz w:val="32"/>
          <w:szCs w:val="30"/>
        </w:rPr>
        <w:t>“三公”经费一般公共预算安排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2.03</w:t>
      </w:r>
      <w:r>
        <w:rPr>
          <w:rFonts w:hint="eastAsia" w:ascii="仿宋_GB2312" w:eastAsia="仿宋_GB2312"/>
          <w:color w:val="000000"/>
          <w:sz w:val="32"/>
          <w:szCs w:val="30"/>
        </w:rPr>
        <w:t>万元。其中：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因公出国（境）费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万元，比上年增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万元，主要原因是：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无因公出国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公务接待费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2.03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万元，比上年减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0.67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万元，主要原因是：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在职人员减少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6人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公务用车运行维护费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万元，比上年增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万元，主要原因是：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0"/>
        </w:rPr>
        <w:t>公务用车。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公务用车购置费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万元，比上年增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万元，主要原因是：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0"/>
        </w:rPr>
        <w:t>公务用车。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第三部分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于都县农机局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年部门预算表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一、《收支预算总表》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二、《部门收入总表》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三、《部门支出总表》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四、《财政拨款收支总表》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五、《一般公共预算支出表》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六、《一般公共预算基本支出表》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七、《一般公共预算“三公”经费支出表》</w:t>
      </w:r>
    </w:p>
    <w:p>
      <w:pPr>
        <w:widowControl/>
        <w:spacing w:line="600" w:lineRule="exact"/>
        <w:ind w:firstLine="1280" w:firstLineChars="400"/>
        <w:jc w:val="left"/>
        <w:rPr>
          <w:rFonts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八、《政府性基金预算支出表》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九、《部门整体支出绩效目标表》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  <w:lang w:eastAsia="zh-CN"/>
        </w:rPr>
        <w:t>十、</w:t>
      </w:r>
      <w:r>
        <w:rPr>
          <w:rFonts w:hint="eastAsia" w:ascii="楷体_GB2312" w:eastAsia="楷体_GB2312"/>
          <w:color w:val="000000"/>
          <w:sz w:val="32"/>
          <w:szCs w:val="30"/>
        </w:rPr>
        <w:t>《项目绩效目标表》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（详见附表）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第四部分   名词解释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一、收入科目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（一）财政拨款：指省级财政当年拨付的资金。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二、支出科目</w:t>
      </w:r>
    </w:p>
    <w:p>
      <w:pPr>
        <w:widowControl/>
        <w:tabs>
          <w:tab w:val="left" w:pos="685"/>
        </w:tabs>
        <w:spacing w:line="580" w:lineRule="exact"/>
        <w:ind w:firstLine="640" w:firstLineChars="200"/>
        <w:jc w:val="left"/>
        <w:rPr>
          <w:rFonts w:hint="eastAsia" w:ascii="仿宋_GB2312" w:eastAsia="仿宋_GB2312"/>
          <w:b w:val="0"/>
          <w:bCs/>
          <w:sz w:val="32"/>
          <w:szCs w:val="30"/>
        </w:rPr>
      </w:pPr>
      <w:r>
        <w:rPr>
          <w:rFonts w:hint="eastAsia" w:ascii="仿宋_GB2312" w:eastAsia="仿宋_GB2312"/>
          <w:b w:val="0"/>
          <w:bCs/>
          <w:sz w:val="32"/>
          <w:szCs w:val="30"/>
        </w:rPr>
        <w:t>（一）机关事业单位基本养老保险缴费支出（2080505）：是指农机局为在职人员缴纳的养老保险单位负担部分</w:t>
      </w:r>
    </w:p>
    <w:p>
      <w:pPr>
        <w:widowControl/>
        <w:tabs>
          <w:tab w:val="left" w:pos="685"/>
        </w:tabs>
        <w:spacing w:line="580" w:lineRule="exact"/>
        <w:ind w:firstLine="640" w:firstLineChars="200"/>
        <w:jc w:val="left"/>
        <w:rPr>
          <w:rFonts w:hint="eastAsia" w:ascii="仿宋_GB2312" w:eastAsia="仿宋_GB2312"/>
          <w:b w:val="0"/>
          <w:bCs/>
          <w:sz w:val="32"/>
          <w:szCs w:val="30"/>
        </w:rPr>
      </w:pPr>
      <w:r>
        <w:rPr>
          <w:rFonts w:hint="eastAsia" w:ascii="仿宋_GB2312" w:eastAsia="仿宋_GB2312"/>
          <w:b w:val="0"/>
          <w:bCs/>
          <w:sz w:val="32"/>
          <w:szCs w:val="30"/>
        </w:rPr>
        <w:t>（二）行政运行（2130101）：指农机局用于保障机构正常运行、开展日常工作的基本支出，包括人员经费、公用经费等支出。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eastAsia="仿宋_GB2312"/>
          <w:b w:val="0"/>
          <w:bCs/>
          <w:sz w:val="32"/>
          <w:szCs w:val="30"/>
        </w:rPr>
      </w:pPr>
      <w:r>
        <w:rPr>
          <w:rFonts w:hint="eastAsia" w:ascii="仿宋_GB2312" w:eastAsia="仿宋_GB2312"/>
          <w:b w:val="0"/>
          <w:bCs/>
          <w:sz w:val="32"/>
          <w:szCs w:val="30"/>
        </w:rPr>
        <w:t>（三）住房公积金（2210201）：是指农机局为在职人员缴纳的住房公积金单位配套部分</w:t>
      </w:r>
    </w:p>
    <w:p>
      <w:pPr>
        <w:rPr>
          <w:b w:val="0"/>
          <w:bCs/>
        </w:rPr>
      </w:pPr>
    </w:p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5947"/>
    <w:multiLevelType w:val="singleLevel"/>
    <w:tmpl w:val="0B63594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7281"/>
    <w:rsid w:val="106B3D79"/>
    <w:rsid w:val="23527824"/>
    <w:rsid w:val="254F5A20"/>
    <w:rsid w:val="256F4285"/>
    <w:rsid w:val="39744DCA"/>
    <w:rsid w:val="3D5462E1"/>
    <w:rsid w:val="3FA07281"/>
    <w:rsid w:val="41B45534"/>
    <w:rsid w:val="41F33A1F"/>
    <w:rsid w:val="50371829"/>
    <w:rsid w:val="5D262EC1"/>
    <w:rsid w:val="6CBC5C08"/>
    <w:rsid w:val="6E84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2021-04-07T08:24:00Z</dcterms:created>
  <dc:creator>Administrator</dc:creator>
  <cp:lastModifiedBy>Administrator</cp:lastModifiedBy>
  <dcterms:modified xsi:type="dcterms:W3CDTF">2022-07-14T08:53:37Z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22F942ED51644E21B90438E8FCA57652</vt:lpwstr>
  </property>
</Properties>
</file>